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18DC1" w14:textId="77777777" w:rsidR="0002177A" w:rsidRDefault="0002177A">
      <w:pPr>
        <w:rPr>
          <w:rtl/>
        </w:rPr>
      </w:pPr>
      <w:bookmarkStart w:id="0" w:name="_GoBack"/>
      <w:bookmarkEnd w:id="0"/>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55"/>
        <w:gridCol w:w="1304"/>
        <w:gridCol w:w="4253"/>
      </w:tblGrid>
      <w:tr w:rsidR="0002177A" w14:paraId="3103189D" w14:textId="77777777" w:rsidTr="00DC1C89">
        <w:trPr>
          <w:trHeight w:val="800"/>
          <w:jc w:val="center"/>
        </w:trPr>
        <w:tc>
          <w:tcPr>
            <w:tcW w:w="4567" w:type="dxa"/>
            <w:gridSpan w:val="3"/>
          </w:tcPr>
          <w:p w14:paraId="35E805B2" w14:textId="77777777" w:rsidR="0002177A" w:rsidRDefault="0002177A">
            <w:pPr>
              <w:jc w:val="both"/>
              <w:rPr>
                <w:rFonts w:ascii="Arial" w:hAnsi="Arial"/>
                <w:b/>
                <w:bCs/>
                <w:rtl/>
              </w:rPr>
            </w:pPr>
          </w:p>
        </w:tc>
        <w:tc>
          <w:tcPr>
            <w:tcW w:w="4253" w:type="dxa"/>
          </w:tcPr>
          <w:p w14:paraId="212F5CAD" w14:textId="77777777" w:rsidR="00773F3A" w:rsidRDefault="00773F3A">
            <w:pPr>
              <w:rPr>
                <w:rFonts w:ascii="Arial" w:hAnsi="Arial"/>
                <w:b/>
                <w:bCs/>
                <w:rtl/>
              </w:rPr>
            </w:pPr>
          </w:p>
        </w:tc>
      </w:tr>
      <w:tr w:rsidR="0002177A" w14:paraId="18B0BBFA" w14:textId="77777777">
        <w:trPr>
          <w:trHeight w:val="295"/>
          <w:jc w:val="center"/>
        </w:trPr>
        <w:tc>
          <w:tcPr>
            <w:tcW w:w="608" w:type="dxa"/>
          </w:tcPr>
          <w:p w14:paraId="5ED4089D" w14:textId="09AF906C" w:rsidR="0002177A" w:rsidRDefault="003601ED">
            <w:pPr>
              <w:jc w:val="both"/>
              <w:rPr>
                <w:rFonts w:ascii="Arial" w:hAnsi="Arial"/>
                <w:b/>
                <w:bCs/>
              </w:rPr>
            </w:pPr>
            <w:r>
              <w:rPr>
                <w:rFonts w:ascii="Arial" w:hAnsi="Arial" w:hint="cs"/>
                <w:b/>
                <w:bCs/>
                <w:rtl/>
              </w:rPr>
              <w:t>ל</w:t>
            </w:r>
            <w:r w:rsidR="00375F47">
              <w:rPr>
                <w:rFonts w:ascii="Arial" w:hAnsi="Arial"/>
                <w:b/>
                <w:bCs/>
                <w:rtl/>
              </w:rPr>
              <w:t xml:space="preserve">פני </w:t>
            </w:r>
          </w:p>
        </w:tc>
        <w:tc>
          <w:tcPr>
            <w:tcW w:w="8212" w:type="dxa"/>
            <w:gridSpan w:val="3"/>
          </w:tcPr>
          <w:p w14:paraId="075B571D" w14:textId="77777777" w:rsidR="0002177A" w:rsidRPr="00DC1C89" w:rsidRDefault="001300A9" w:rsidP="00DC1C89">
            <w:pPr>
              <w:rPr>
                <w:rFonts w:ascii="Arial" w:hAnsi="Arial"/>
                <w:b/>
                <w:bCs/>
                <w:rtl/>
              </w:rPr>
            </w:pPr>
            <w:r>
              <w:rPr>
                <w:rFonts w:ascii="Arial" w:hAnsi="Arial" w:hint="cs"/>
                <w:b/>
                <w:bCs/>
                <w:rtl/>
              </w:rPr>
              <w:t>כב' השופט</w:t>
            </w:r>
            <w:r w:rsidR="00D709E4">
              <w:rPr>
                <w:rFonts w:ascii="Arial" w:hAnsi="Arial" w:hint="cs"/>
                <w:b/>
                <w:bCs/>
                <w:rtl/>
              </w:rPr>
              <w:t>ת</w:t>
            </w:r>
            <w:r>
              <w:rPr>
                <w:rFonts w:ascii="Arial" w:hAnsi="Arial" w:hint="cs"/>
                <w:b/>
                <w:bCs/>
                <w:rtl/>
              </w:rPr>
              <w:t xml:space="preserve"> </w:t>
            </w:r>
            <w:r w:rsidR="008D08F6">
              <w:rPr>
                <w:rFonts w:ascii="Arial" w:hAnsi="Arial" w:hint="cs"/>
                <w:b/>
                <w:bCs/>
                <w:rtl/>
              </w:rPr>
              <w:t>הבכירה</w:t>
            </w:r>
            <w:r w:rsidR="00DC1C89">
              <w:rPr>
                <w:rFonts w:ascii="Arial" w:hAnsi="Arial" w:hint="cs"/>
                <w:b/>
                <w:bCs/>
                <w:rtl/>
              </w:rPr>
              <w:t xml:space="preserve"> </w:t>
            </w:r>
            <w:sdt>
              <w:sdtPr>
                <w:rPr>
                  <w:rFonts w:ascii="Arial" w:hAnsi="Arial"/>
                  <w:b/>
                  <w:bCs/>
                  <w:rtl/>
                </w:rPr>
                <w:alias w:val="1573"/>
                <w:tag w:val="1573"/>
                <w:id w:val="1790249761"/>
                <w:placeholder>
                  <w:docPart w:val="02B083814153403DA1955A6BD65FF9AA"/>
                </w:placeholder>
                <w:text w:multiLine="1"/>
              </w:sdtPr>
              <w:sdtEndPr/>
              <w:sdtContent>
                <w:r>
                  <w:rPr>
                    <w:rFonts w:ascii="Arial" w:hAnsi="Arial"/>
                    <w:b/>
                    <w:bCs/>
                    <w:rtl/>
                  </w:rPr>
                  <w:t>רבקה מקייס</w:t>
                </w:r>
              </w:sdtContent>
            </w:sdt>
            <w:r w:rsidR="00DC1C89" w:rsidRPr="00DC1C89">
              <w:rPr>
                <w:rFonts w:ascii="Arial" w:hAnsi="Arial"/>
                <w:b/>
                <w:bCs/>
                <w:rtl/>
              </w:rPr>
              <w:t xml:space="preserve"> </w:t>
            </w:r>
          </w:p>
          <w:p w14:paraId="5629B279" w14:textId="77777777" w:rsidR="005B5D57" w:rsidRPr="00DC1C89" w:rsidRDefault="005B5D57" w:rsidP="00187785">
            <w:pPr>
              <w:rPr>
                <w:rFonts w:ascii="Arial" w:hAnsi="Arial"/>
                <w:b/>
                <w:bCs/>
              </w:rPr>
            </w:pPr>
          </w:p>
        </w:tc>
      </w:tr>
      <w:tr w:rsidR="0002177A" w14:paraId="5A88949A" w14:textId="77777777">
        <w:trPr>
          <w:jc w:val="center"/>
        </w:trPr>
        <w:tc>
          <w:tcPr>
            <w:tcW w:w="3263" w:type="dxa"/>
            <w:gridSpan w:val="2"/>
          </w:tcPr>
          <w:sdt>
            <w:sdtPr>
              <w:rPr>
                <w:rtl/>
              </w:rPr>
              <w:alias w:val="1180"/>
              <w:tag w:val="1180"/>
              <w:id w:val="1814062130"/>
              <w:text w:multiLine="1"/>
            </w:sdtPr>
            <w:sdtEndPr/>
            <w:sdtContent>
              <w:p w14:paraId="4F282E80" w14:textId="77777777" w:rsidR="00773F3A" w:rsidRDefault="005E2F36" w:rsidP="005E2F36">
                <w:pPr>
                  <w:rPr>
                    <w:rFonts w:ascii="Arial" w:hAnsi="Arial"/>
                    <w:b/>
                    <w:bCs/>
                  </w:rPr>
                </w:pPr>
                <w:r>
                  <w:rPr>
                    <w:rFonts w:ascii="Arial" w:hAnsi="Arial" w:hint="cs"/>
                    <w:b/>
                    <w:bCs/>
                    <w:rtl/>
                  </w:rPr>
                  <w:t>ה</w:t>
                </w:r>
                <w:r w:rsidR="007C5D5D">
                  <w:rPr>
                    <w:rFonts w:ascii="Arial" w:hAnsi="Arial" w:hint="cs"/>
                    <w:b/>
                    <w:bCs/>
                    <w:rtl/>
                  </w:rPr>
                  <w:t>מבקש</w:t>
                </w:r>
              </w:p>
            </w:sdtContent>
          </w:sdt>
        </w:tc>
        <w:tc>
          <w:tcPr>
            <w:tcW w:w="5557" w:type="dxa"/>
            <w:gridSpan w:val="2"/>
          </w:tcPr>
          <w:p w14:paraId="538CC5AE" w14:textId="5925A1DE" w:rsidR="0002177A" w:rsidRPr="001A5085" w:rsidRDefault="003601ED" w:rsidP="001A5085">
            <w:pPr>
              <w:suppressLineNumbers/>
            </w:pPr>
            <w:r>
              <w:rPr>
                <w:rFonts w:ascii="Arial" w:hAnsi="Arial" w:hint="cs"/>
                <w:b/>
                <w:bCs/>
                <w:sz w:val="26"/>
                <w:szCs w:val="26"/>
                <w:rtl/>
              </w:rPr>
              <w:t>פלוני</w:t>
            </w:r>
          </w:p>
        </w:tc>
      </w:tr>
      <w:tr w:rsidR="0002177A" w14:paraId="3FB7AC61" w14:textId="77777777">
        <w:trPr>
          <w:jc w:val="center"/>
        </w:trPr>
        <w:tc>
          <w:tcPr>
            <w:tcW w:w="8820" w:type="dxa"/>
            <w:gridSpan w:val="4"/>
          </w:tcPr>
          <w:p w14:paraId="44B9C378" w14:textId="77777777" w:rsidR="0002177A" w:rsidRDefault="0002177A">
            <w:pPr>
              <w:rPr>
                <w:rFonts w:ascii="Arial" w:hAnsi="Arial"/>
                <w:b/>
                <w:bCs/>
                <w:rtl/>
              </w:rPr>
            </w:pPr>
          </w:p>
          <w:p w14:paraId="258C9F2C" w14:textId="77777777" w:rsidR="0002177A" w:rsidRDefault="00375F47" w:rsidP="003601ED">
            <w:pPr>
              <w:ind w:firstLine="3470"/>
              <w:rPr>
                <w:rFonts w:ascii="Arial" w:hAnsi="Arial"/>
                <w:b/>
                <w:bCs/>
                <w:rtl/>
              </w:rPr>
            </w:pPr>
            <w:r>
              <w:rPr>
                <w:rFonts w:ascii="Arial" w:hAnsi="Arial"/>
                <w:b/>
                <w:bCs/>
                <w:rtl/>
              </w:rPr>
              <w:t>נגד</w:t>
            </w:r>
          </w:p>
          <w:p w14:paraId="1EC326E4" w14:textId="77777777" w:rsidR="0002177A" w:rsidRDefault="0002177A">
            <w:pPr>
              <w:rPr>
                <w:rFonts w:ascii="Arial" w:hAnsi="Arial"/>
                <w:b/>
                <w:bCs/>
              </w:rPr>
            </w:pPr>
          </w:p>
        </w:tc>
      </w:tr>
      <w:tr w:rsidR="0002177A" w14:paraId="42F6D954" w14:textId="77777777">
        <w:trPr>
          <w:jc w:val="center"/>
        </w:trPr>
        <w:sdt>
          <w:sdtPr>
            <w:rPr>
              <w:rtl/>
            </w:rPr>
            <w:alias w:val="1184"/>
            <w:tag w:val="1184"/>
            <w:id w:val="-955174960"/>
            <w:text/>
          </w:sdtPr>
          <w:sdtEndPr/>
          <w:sdtContent>
            <w:tc>
              <w:tcPr>
                <w:tcW w:w="3263" w:type="dxa"/>
                <w:gridSpan w:val="2"/>
              </w:tcPr>
              <w:p w14:paraId="045CDDE2" w14:textId="77777777" w:rsidR="0002177A" w:rsidRDefault="005E2F36">
                <w:pPr>
                  <w:rPr>
                    <w:rFonts w:ascii="Arial" w:hAnsi="Arial"/>
                    <w:b/>
                    <w:bCs/>
                  </w:rPr>
                </w:pPr>
                <w:r>
                  <w:rPr>
                    <w:rFonts w:ascii="Arial" w:hAnsi="Arial" w:hint="cs"/>
                    <w:b/>
                    <w:bCs/>
                    <w:rtl/>
                  </w:rPr>
                  <w:t>ה</w:t>
                </w:r>
                <w:r w:rsidR="007C5D5D">
                  <w:rPr>
                    <w:rFonts w:ascii="Arial" w:hAnsi="Arial" w:hint="cs"/>
                    <w:b/>
                    <w:bCs/>
                    <w:rtl/>
                  </w:rPr>
                  <w:t>משיבה</w:t>
                </w:r>
              </w:p>
            </w:tc>
          </w:sdtContent>
        </w:sdt>
        <w:tc>
          <w:tcPr>
            <w:tcW w:w="5557" w:type="dxa"/>
            <w:gridSpan w:val="2"/>
          </w:tcPr>
          <w:p w14:paraId="79B8D601" w14:textId="6447787D" w:rsidR="0002177A" w:rsidRPr="001A5085" w:rsidRDefault="003601ED" w:rsidP="001A5085">
            <w:pPr>
              <w:suppressLineNumbers/>
              <w:rPr>
                <w:rtl/>
              </w:rPr>
            </w:pPr>
            <w:r>
              <w:rPr>
                <w:rFonts w:ascii="Arial" w:hAnsi="Arial" w:hint="cs"/>
                <w:b/>
                <w:bCs/>
                <w:sz w:val="26"/>
                <w:szCs w:val="26"/>
                <w:rtl/>
              </w:rPr>
              <w:t>פלונית</w:t>
            </w:r>
          </w:p>
        </w:tc>
      </w:tr>
    </w:tbl>
    <w:p w14:paraId="12FC33D3" w14:textId="77777777" w:rsidR="0002177A" w:rsidRDefault="0002177A">
      <w:pPr>
        <w:rPr>
          <w:rtl/>
        </w:rPr>
      </w:pPr>
    </w:p>
    <w:p w14:paraId="705CE3FD" w14:textId="77777777" w:rsidR="0002177A" w:rsidRDefault="0002177A"/>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14:paraId="35895F02" w14:textId="77777777">
        <w:trPr>
          <w:jc w:val="center"/>
        </w:trPr>
        <w:tc>
          <w:tcPr>
            <w:tcW w:w="8820" w:type="dxa"/>
          </w:tcPr>
          <w:p w14:paraId="36A365E9" w14:textId="77777777" w:rsidR="0002177A" w:rsidRDefault="00375F47" w:rsidP="003601ED">
            <w:pPr>
              <w:ind w:firstLine="3470"/>
              <w:rPr>
                <w:rFonts w:ascii="Arial" w:hAnsi="Arial"/>
                <w:b/>
                <w:bCs/>
                <w:u w:val="single"/>
              </w:rPr>
            </w:pPr>
            <w:r>
              <w:rPr>
                <w:rFonts w:ascii="Arial" w:hAnsi="Arial"/>
                <w:b/>
                <w:bCs/>
                <w:sz w:val="30"/>
                <w:szCs w:val="30"/>
                <w:u w:val="single"/>
                <w:rtl/>
              </w:rPr>
              <w:t>החלטה</w:t>
            </w:r>
          </w:p>
        </w:tc>
      </w:tr>
    </w:tbl>
    <w:p w14:paraId="720E8E84" w14:textId="77777777" w:rsidR="0002177A" w:rsidRDefault="0002177A">
      <w:pPr>
        <w:rPr>
          <w:rFonts w:ascii="Arial" w:hAnsi="Arial"/>
          <w:rtl/>
        </w:rPr>
      </w:pPr>
    </w:p>
    <w:p w14:paraId="337E4009" w14:textId="3037AE54" w:rsidR="0002177A" w:rsidRDefault="005E2F36" w:rsidP="007C5D5D">
      <w:pPr>
        <w:pStyle w:val="ab"/>
        <w:numPr>
          <w:ilvl w:val="0"/>
          <w:numId w:val="4"/>
        </w:numPr>
        <w:spacing w:line="360" w:lineRule="auto"/>
        <w:jc w:val="both"/>
        <w:rPr>
          <w:rFonts w:ascii="Arial" w:hAnsi="Arial"/>
        </w:rPr>
      </w:pPr>
      <w:r>
        <w:rPr>
          <w:rFonts w:ascii="Arial" w:hAnsi="Arial" w:hint="cs"/>
          <w:rtl/>
        </w:rPr>
        <w:t xml:space="preserve">ביום </w:t>
      </w:r>
      <w:r w:rsidR="007C5D5D">
        <w:rPr>
          <w:rFonts w:ascii="Arial" w:hAnsi="Arial" w:hint="cs"/>
          <w:rtl/>
        </w:rPr>
        <w:t>21.2.24 הוגשה תביעה על ידי המבקש להורות למשיבה</w:t>
      </w:r>
      <w:r>
        <w:rPr>
          <w:rFonts w:ascii="Arial" w:hAnsi="Arial" w:hint="cs"/>
          <w:rtl/>
        </w:rPr>
        <w:t xml:space="preserve"> למסור דו"ח מפורט לגבי ת</w:t>
      </w:r>
      <w:r w:rsidR="007C5D5D">
        <w:rPr>
          <w:rFonts w:ascii="Arial" w:hAnsi="Arial" w:hint="cs"/>
          <w:rtl/>
        </w:rPr>
        <w:t xml:space="preserve">פקודה כאפוטרופוס  </w:t>
      </w:r>
      <w:r>
        <w:rPr>
          <w:rFonts w:ascii="Arial" w:hAnsi="Arial" w:hint="cs"/>
          <w:rtl/>
        </w:rPr>
        <w:t xml:space="preserve">על הורי הצדדים: </w:t>
      </w:r>
      <w:r w:rsidR="001E0126">
        <w:rPr>
          <w:rFonts w:ascii="Arial" w:hAnsi="Arial" w:hint="cs"/>
          <w:rtl/>
        </w:rPr>
        <w:t>---</w:t>
      </w:r>
      <w:r>
        <w:rPr>
          <w:rFonts w:ascii="Arial" w:hAnsi="Arial" w:hint="cs"/>
          <w:rtl/>
        </w:rPr>
        <w:t xml:space="preserve"> </w:t>
      </w:r>
      <w:r w:rsidR="007C5D5D">
        <w:rPr>
          <w:rFonts w:ascii="Arial" w:hAnsi="Arial" w:hint="cs"/>
          <w:rtl/>
        </w:rPr>
        <w:t xml:space="preserve">(במועד הגשת התביעה צוין כי </w:t>
      </w:r>
      <w:r w:rsidR="00C00F26">
        <w:rPr>
          <w:rFonts w:ascii="Arial" w:hAnsi="Arial" w:hint="cs"/>
          <w:rtl/>
        </w:rPr>
        <w:t xml:space="preserve">כיום </w:t>
      </w:r>
      <w:r w:rsidR="007C5D5D">
        <w:rPr>
          <w:rFonts w:ascii="Arial" w:hAnsi="Arial" w:hint="cs"/>
          <w:rtl/>
        </w:rPr>
        <w:t xml:space="preserve">הינה </w:t>
      </w:r>
      <w:r w:rsidR="00C00F26">
        <w:rPr>
          <w:rFonts w:ascii="Arial" w:hAnsi="Arial" w:hint="cs"/>
          <w:rtl/>
        </w:rPr>
        <w:t>אשל"א</w:t>
      </w:r>
      <w:r w:rsidR="007C5D5D">
        <w:rPr>
          <w:rFonts w:ascii="Arial" w:hAnsi="Arial" w:hint="cs"/>
          <w:rtl/>
        </w:rPr>
        <w:t>)</w:t>
      </w:r>
      <w:r w:rsidR="00C00F26">
        <w:rPr>
          <w:rFonts w:ascii="Arial" w:hAnsi="Arial" w:hint="cs"/>
          <w:rtl/>
        </w:rPr>
        <w:t xml:space="preserve">, </w:t>
      </w:r>
      <w:r>
        <w:rPr>
          <w:rFonts w:ascii="Arial" w:hAnsi="Arial" w:hint="cs"/>
          <w:rtl/>
        </w:rPr>
        <w:t>ו</w:t>
      </w:r>
      <w:r w:rsidR="00C00F26">
        <w:rPr>
          <w:rFonts w:ascii="Arial" w:hAnsi="Arial" w:hint="cs"/>
          <w:rtl/>
        </w:rPr>
        <w:t xml:space="preserve">האב </w:t>
      </w:r>
      <w:r>
        <w:rPr>
          <w:rFonts w:ascii="Arial" w:hAnsi="Arial" w:hint="cs"/>
          <w:rtl/>
        </w:rPr>
        <w:t xml:space="preserve">המנוח </w:t>
      </w:r>
      <w:r w:rsidR="001E0126">
        <w:rPr>
          <w:rFonts w:ascii="Arial" w:hAnsi="Arial" w:hint="cs"/>
          <w:rtl/>
        </w:rPr>
        <w:t>---</w:t>
      </w:r>
      <w:r>
        <w:rPr>
          <w:rFonts w:ascii="Arial" w:hAnsi="Arial" w:hint="cs"/>
          <w:rtl/>
        </w:rPr>
        <w:t xml:space="preserve"> ז"ל. </w:t>
      </w:r>
      <w:r w:rsidR="007C5D5D">
        <w:rPr>
          <w:rFonts w:ascii="Arial" w:hAnsi="Arial" w:hint="cs"/>
          <w:rtl/>
        </w:rPr>
        <w:t>צוין בכתב התביעה כי המשיבה הינה אחת מתוך שני אפוטרופוסים שמונו: המבקש והמשיבה.</w:t>
      </w:r>
    </w:p>
    <w:p w14:paraId="0D6B6A45" w14:textId="370A49C3" w:rsidR="005E2F36" w:rsidRDefault="005E2F36" w:rsidP="003601ED">
      <w:pPr>
        <w:pStyle w:val="ab"/>
        <w:numPr>
          <w:ilvl w:val="0"/>
          <w:numId w:val="4"/>
        </w:numPr>
        <w:spacing w:line="360" w:lineRule="auto"/>
        <w:jc w:val="both"/>
        <w:rPr>
          <w:rFonts w:ascii="Arial" w:hAnsi="Arial"/>
        </w:rPr>
      </w:pPr>
      <w:r>
        <w:rPr>
          <w:rFonts w:ascii="Arial" w:hAnsi="Arial" w:hint="cs"/>
          <w:rtl/>
        </w:rPr>
        <w:t xml:space="preserve">בכתב התביעה מפורט כי שני הצדדים </w:t>
      </w:r>
      <w:r w:rsidR="007C5D5D">
        <w:rPr>
          <w:rFonts w:ascii="Arial" w:hAnsi="Arial" w:hint="cs"/>
          <w:rtl/>
        </w:rPr>
        <w:t xml:space="preserve">כאמור </w:t>
      </w:r>
      <w:r>
        <w:rPr>
          <w:rFonts w:ascii="Arial" w:hAnsi="Arial" w:hint="cs"/>
          <w:rtl/>
        </w:rPr>
        <w:t>שימשו אפוטרופוסי</w:t>
      </w:r>
      <w:r>
        <w:rPr>
          <w:rFonts w:ascii="Arial" w:hAnsi="Arial" w:hint="eastAsia"/>
          <w:rtl/>
        </w:rPr>
        <w:t>ם</w:t>
      </w:r>
      <w:r>
        <w:rPr>
          <w:rFonts w:ascii="Arial" w:hAnsi="Arial" w:hint="cs"/>
          <w:rtl/>
        </w:rPr>
        <w:t xml:space="preserve"> על הוריהם, אולם לטענת</w:t>
      </w:r>
      <w:r w:rsidR="003601ED">
        <w:rPr>
          <w:rFonts w:ascii="Arial" w:hAnsi="Arial" w:hint="cs"/>
          <w:rtl/>
        </w:rPr>
        <w:t xml:space="preserve"> המבקש</w:t>
      </w:r>
      <w:r>
        <w:rPr>
          <w:rFonts w:ascii="Arial" w:hAnsi="Arial" w:hint="cs"/>
          <w:rtl/>
        </w:rPr>
        <w:t>, למרות ששימש אף הוא א</w:t>
      </w:r>
      <w:r w:rsidR="003601ED">
        <w:rPr>
          <w:rFonts w:ascii="Arial" w:hAnsi="Arial" w:hint="cs"/>
          <w:rtl/>
        </w:rPr>
        <w:t>פוטרופוס, נתן א</w:t>
      </w:r>
      <w:r w:rsidR="007C5D5D">
        <w:rPr>
          <w:rFonts w:ascii="Arial" w:hAnsi="Arial" w:hint="cs"/>
          <w:rtl/>
        </w:rPr>
        <w:t xml:space="preserve">מון מלא במשיבה והמשיבה מעלה באמון זה, </w:t>
      </w:r>
      <w:r>
        <w:rPr>
          <w:rFonts w:ascii="Arial" w:hAnsi="Arial" w:hint="cs"/>
          <w:rtl/>
        </w:rPr>
        <w:t xml:space="preserve">ועתר לקבל דפי חשבון של חשבונות </w:t>
      </w:r>
      <w:r w:rsidR="00C00F26">
        <w:rPr>
          <w:rFonts w:ascii="Arial" w:hAnsi="Arial" w:hint="cs"/>
          <w:rtl/>
        </w:rPr>
        <w:t>האפוטרופסות</w:t>
      </w:r>
      <w:r w:rsidR="003601ED">
        <w:rPr>
          <w:rFonts w:ascii="Arial" w:hAnsi="Arial" w:hint="cs"/>
          <w:rtl/>
        </w:rPr>
        <w:t xml:space="preserve"> אך המשיבה</w:t>
      </w:r>
      <w:r>
        <w:rPr>
          <w:rFonts w:ascii="Arial" w:hAnsi="Arial" w:hint="cs"/>
          <w:rtl/>
        </w:rPr>
        <w:t xml:space="preserve"> סירבה לכך</w:t>
      </w:r>
      <w:r w:rsidR="00C00F26">
        <w:rPr>
          <w:rFonts w:ascii="Arial" w:hAnsi="Arial" w:hint="cs"/>
          <w:rtl/>
        </w:rPr>
        <w:t xml:space="preserve">. </w:t>
      </w:r>
    </w:p>
    <w:p w14:paraId="6CD89A1A" w14:textId="38E5F88C" w:rsidR="00C00F26" w:rsidRDefault="00C00F26" w:rsidP="003601ED">
      <w:pPr>
        <w:pStyle w:val="ab"/>
        <w:numPr>
          <w:ilvl w:val="0"/>
          <w:numId w:val="4"/>
        </w:numPr>
        <w:spacing w:line="360" w:lineRule="auto"/>
        <w:jc w:val="both"/>
        <w:rPr>
          <w:rFonts w:ascii="Arial" w:hAnsi="Arial"/>
        </w:rPr>
      </w:pPr>
      <w:r>
        <w:rPr>
          <w:rFonts w:ascii="Arial" w:hAnsi="Arial" w:hint="cs"/>
          <w:rtl/>
        </w:rPr>
        <w:t xml:space="preserve">ביום 2.5.24 הוגשה הודעה על החלפת ייצוג של </w:t>
      </w:r>
      <w:r w:rsidR="003601ED">
        <w:rPr>
          <w:rFonts w:ascii="Arial" w:hAnsi="Arial" w:hint="cs"/>
          <w:rtl/>
        </w:rPr>
        <w:t>המבקש</w:t>
      </w:r>
      <w:r>
        <w:rPr>
          <w:rFonts w:ascii="Arial" w:hAnsi="Arial" w:hint="cs"/>
          <w:rtl/>
        </w:rPr>
        <w:t xml:space="preserve"> ובקשה למחיקת התובענה, וזאת מאחר והצדדים פתחו הליך בוררות במסגרת המוסד לבוררות עסקית. וכך מצוין בהודעה: </w:t>
      </w:r>
    </w:p>
    <w:p w14:paraId="4C9CCAC2" w14:textId="72981410" w:rsidR="00C00F26" w:rsidRPr="00534088" w:rsidRDefault="00534088" w:rsidP="003601ED">
      <w:pPr>
        <w:pStyle w:val="ab"/>
        <w:spacing w:line="360" w:lineRule="auto"/>
        <w:ind w:left="1440"/>
        <w:jc w:val="both"/>
        <w:rPr>
          <w:rFonts w:ascii="Arial" w:hAnsi="Arial"/>
          <w:b/>
          <w:bCs/>
          <w:rtl/>
        </w:rPr>
      </w:pPr>
      <w:r>
        <w:rPr>
          <w:rFonts w:ascii="Arial" w:hAnsi="Arial" w:hint="cs"/>
          <w:b/>
          <w:bCs/>
          <w:noProof/>
          <w:sz w:val="22"/>
          <w:szCs w:val="22"/>
          <w:rtl/>
        </w:rPr>
        <w:t xml:space="preserve">מאחר והצדדים פתחו הליך בוררות בפני </w:t>
      </w:r>
      <w:r w:rsidR="003601ED">
        <w:rPr>
          <w:rFonts w:ascii="Arial" w:hAnsi="Arial" w:hint="cs"/>
          <w:b/>
          <w:bCs/>
          <w:noProof/>
          <w:sz w:val="22"/>
          <w:szCs w:val="22"/>
          <w:rtl/>
        </w:rPr>
        <w:t>________</w:t>
      </w:r>
      <w:r>
        <w:rPr>
          <w:rFonts w:ascii="Arial" w:hAnsi="Arial" w:hint="cs"/>
          <w:b/>
          <w:bCs/>
          <w:noProof/>
          <w:sz w:val="22"/>
          <w:szCs w:val="22"/>
          <w:rtl/>
        </w:rPr>
        <w:t xml:space="preserve"> במוסד לבוררות עסקית, בעניין שביניהם, מתבקש בית המשפט הנכבד למחוק את התביעה לא צו להוצאות. </w:t>
      </w:r>
    </w:p>
    <w:p w14:paraId="361B634C" w14:textId="77777777" w:rsidR="005B5D57" w:rsidRDefault="00C00F26" w:rsidP="00C00F26">
      <w:pPr>
        <w:pStyle w:val="ab"/>
        <w:numPr>
          <w:ilvl w:val="0"/>
          <w:numId w:val="4"/>
        </w:numPr>
        <w:spacing w:line="360" w:lineRule="auto"/>
        <w:jc w:val="both"/>
        <w:rPr>
          <w:rFonts w:ascii="Arial" w:hAnsi="Arial"/>
        </w:rPr>
      </w:pPr>
      <w:r>
        <w:rPr>
          <w:rFonts w:ascii="Arial" w:hAnsi="Arial" w:hint="cs"/>
          <w:rtl/>
        </w:rPr>
        <w:lastRenderedPageBreak/>
        <w:t xml:space="preserve">ואמנם, ביום 7.5.24 נעתר בית המשפט לבקשה וההליך נמחק כמבוקש. </w:t>
      </w:r>
    </w:p>
    <w:p w14:paraId="53BD26E3" w14:textId="77777777" w:rsidR="00C00F26" w:rsidRPr="00C00F26" w:rsidRDefault="00C00F26" w:rsidP="00C00F26">
      <w:pPr>
        <w:spacing w:line="360" w:lineRule="auto"/>
        <w:jc w:val="both"/>
        <w:rPr>
          <w:rFonts w:ascii="Arial" w:hAnsi="Arial"/>
          <w:b/>
          <w:bCs/>
          <w:u w:val="single"/>
        </w:rPr>
      </w:pPr>
      <w:r w:rsidRPr="00C00F26">
        <w:rPr>
          <w:rFonts w:ascii="Arial" w:hAnsi="Arial" w:hint="cs"/>
          <w:b/>
          <w:bCs/>
          <w:u w:val="single"/>
          <w:rtl/>
        </w:rPr>
        <w:t>הבקשה לביטול החלטה</w:t>
      </w:r>
    </w:p>
    <w:p w14:paraId="1A89A8DC" w14:textId="58B17D93" w:rsidR="00944F77" w:rsidRDefault="00312DDD" w:rsidP="003601ED">
      <w:pPr>
        <w:pStyle w:val="ab"/>
        <w:numPr>
          <w:ilvl w:val="0"/>
          <w:numId w:val="4"/>
        </w:numPr>
        <w:spacing w:line="360" w:lineRule="auto"/>
        <w:jc w:val="both"/>
        <w:rPr>
          <w:rFonts w:ascii="Arial" w:hAnsi="Arial"/>
        </w:rPr>
      </w:pPr>
      <w:r>
        <w:rPr>
          <w:rFonts w:ascii="Arial" w:hAnsi="Arial" w:hint="cs"/>
          <w:rtl/>
        </w:rPr>
        <w:t>ביום 16.7.24 הוגשה בקשה לביטול החלטה</w:t>
      </w:r>
      <w:r w:rsidR="00944F77">
        <w:rPr>
          <w:rFonts w:ascii="Arial" w:hAnsi="Arial" w:hint="cs"/>
          <w:rtl/>
        </w:rPr>
        <w:t xml:space="preserve"> למחיקת ההליך</w:t>
      </w:r>
      <w:r>
        <w:rPr>
          <w:rFonts w:ascii="Arial" w:hAnsi="Arial" w:hint="cs"/>
          <w:rtl/>
        </w:rPr>
        <w:t xml:space="preserve">, ובבקשה זו מועלות טענות כנגד הבוררת, </w:t>
      </w:r>
      <w:r w:rsidR="00944F77">
        <w:rPr>
          <w:rFonts w:ascii="Arial" w:hAnsi="Arial" w:hint="cs"/>
          <w:rtl/>
        </w:rPr>
        <w:t xml:space="preserve">כנגד </w:t>
      </w:r>
      <w:r>
        <w:rPr>
          <w:rFonts w:ascii="Arial" w:hAnsi="Arial" w:hint="cs"/>
          <w:rtl/>
        </w:rPr>
        <w:t xml:space="preserve">המוסד לבוררות, </w:t>
      </w:r>
      <w:r w:rsidR="00944F77">
        <w:rPr>
          <w:rFonts w:ascii="Arial" w:hAnsi="Arial" w:hint="cs"/>
          <w:rtl/>
        </w:rPr>
        <w:t xml:space="preserve">כנגד </w:t>
      </w:r>
      <w:r>
        <w:rPr>
          <w:rFonts w:ascii="Arial" w:hAnsi="Arial" w:hint="cs"/>
          <w:rtl/>
        </w:rPr>
        <w:t>ב"כ הקודם של ה</w:t>
      </w:r>
      <w:r w:rsidR="003601ED">
        <w:rPr>
          <w:rFonts w:ascii="Arial" w:hAnsi="Arial" w:hint="cs"/>
          <w:rtl/>
        </w:rPr>
        <w:t>מבקש</w:t>
      </w:r>
      <w:r>
        <w:rPr>
          <w:rFonts w:ascii="Arial" w:hAnsi="Arial" w:hint="cs"/>
          <w:rtl/>
        </w:rPr>
        <w:t>, ו</w:t>
      </w:r>
      <w:r w:rsidR="00944F77">
        <w:rPr>
          <w:rFonts w:ascii="Arial" w:hAnsi="Arial" w:hint="cs"/>
          <w:rtl/>
        </w:rPr>
        <w:t xml:space="preserve">צוין </w:t>
      </w:r>
      <w:r>
        <w:rPr>
          <w:rFonts w:ascii="Arial" w:hAnsi="Arial" w:hint="cs"/>
          <w:rtl/>
        </w:rPr>
        <w:t xml:space="preserve">כי </w:t>
      </w:r>
      <w:r w:rsidR="007C5D5D">
        <w:rPr>
          <w:rFonts w:ascii="Arial" w:hAnsi="Arial" w:hint="cs"/>
          <w:rtl/>
        </w:rPr>
        <w:t xml:space="preserve">כבר </w:t>
      </w:r>
      <w:r>
        <w:rPr>
          <w:rFonts w:ascii="Arial" w:hAnsi="Arial" w:hint="cs"/>
          <w:rtl/>
        </w:rPr>
        <w:t>ביום 13.5.24 נשלחה הודעה על הפסקת הליך הבוררות</w:t>
      </w:r>
      <w:r w:rsidR="00944F77">
        <w:rPr>
          <w:rFonts w:ascii="Arial" w:hAnsi="Arial" w:hint="cs"/>
          <w:rtl/>
        </w:rPr>
        <w:t>.</w:t>
      </w:r>
    </w:p>
    <w:p w14:paraId="2E1FC3F5" w14:textId="77777777" w:rsidR="00C00F26" w:rsidRDefault="00944F77" w:rsidP="00944F77">
      <w:pPr>
        <w:pStyle w:val="ab"/>
        <w:numPr>
          <w:ilvl w:val="0"/>
          <w:numId w:val="4"/>
        </w:numPr>
        <w:spacing w:line="360" w:lineRule="auto"/>
        <w:jc w:val="both"/>
        <w:rPr>
          <w:rFonts w:ascii="Arial" w:hAnsi="Arial"/>
        </w:rPr>
      </w:pPr>
      <w:r>
        <w:rPr>
          <w:rFonts w:ascii="Arial" w:hAnsi="Arial" w:hint="cs"/>
          <w:rtl/>
        </w:rPr>
        <w:t xml:space="preserve">מצוין כי </w:t>
      </w:r>
      <w:r w:rsidR="00312DDD">
        <w:rPr>
          <w:rFonts w:ascii="Arial" w:hAnsi="Arial" w:hint="cs"/>
          <w:rtl/>
        </w:rPr>
        <w:t xml:space="preserve">הצדדים ניהלו מו"מ אשר לא צלח, </w:t>
      </w:r>
      <w:r>
        <w:rPr>
          <w:rFonts w:ascii="Arial" w:hAnsi="Arial" w:hint="cs"/>
          <w:rtl/>
        </w:rPr>
        <w:t xml:space="preserve">ועל כן </w:t>
      </w:r>
      <w:r w:rsidR="00312DDD">
        <w:rPr>
          <w:rFonts w:ascii="Arial" w:hAnsi="Arial" w:hint="cs"/>
          <w:rtl/>
        </w:rPr>
        <w:t>על בית המשפט להעביר את הבוררת מתפקידה, ולבטל את ההחלטה למחיקת התביעה.</w:t>
      </w:r>
    </w:p>
    <w:p w14:paraId="13AD6526" w14:textId="77777777" w:rsidR="00312DDD" w:rsidRDefault="008819DF" w:rsidP="00312DDD">
      <w:pPr>
        <w:pStyle w:val="ab"/>
        <w:numPr>
          <w:ilvl w:val="0"/>
          <w:numId w:val="4"/>
        </w:numPr>
        <w:spacing w:line="360" w:lineRule="auto"/>
        <w:jc w:val="both"/>
        <w:rPr>
          <w:rFonts w:ascii="Arial" w:hAnsi="Arial"/>
        </w:rPr>
      </w:pPr>
      <w:r>
        <w:rPr>
          <w:rFonts w:ascii="Arial" w:hAnsi="Arial" w:hint="cs"/>
          <w:rtl/>
        </w:rPr>
        <w:t xml:space="preserve">התגובה לבקשה </w:t>
      </w:r>
      <w:r w:rsidR="00944F77">
        <w:rPr>
          <w:rFonts w:ascii="Arial" w:hAnsi="Arial" w:hint="cs"/>
          <w:rtl/>
        </w:rPr>
        <w:t xml:space="preserve">הוגשה </w:t>
      </w:r>
      <w:r>
        <w:rPr>
          <w:rFonts w:ascii="Arial" w:hAnsi="Arial" w:hint="cs"/>
          <w:rtl/>
        </w:rPr>
        <w:t xml:space="preserve">ביום 21.8.24. </w:t>
      </w:r>
      <w:r w:rsidR="00944F77">
        <w:rPr>
          <w:rFonts w:ascii="Arial" w:hAnsi="Arial" w:hint="cs"/>
          <w:rtl/>
        </w:rPr>
        <w:t>ו</w:t>
      </w:r>
      <w:r>
        <w:rPr>
          <w:rFonts w:ascii="Arial" w:hAnsi="Arial" w:hint="cs"/>
          <w:rtl/>
        </w:rPr>
        <w:t xml:space="preserve">במסגרת התגובה נטענו מספר טענות בנוגע לבקשה: </w:t>
      </w:r>
    </w:p>
    <w:p w14:paraId="7E0E1FCB" w14:textId="77777777" w:rsidR="008819DF" w:rsidRPr="00944F77" w:rsidRDefault="00944F77" w:rsidP="008819DF">
      <w:pPr>
        <w:pStyle w:val="ab"/>
        <w:numPr>
          <w:ilvl w:val="0"/>
          <w:numId w:val="5"/>
        </w:numPr>
        <w:spacing w:line="360" w:lineRule="auto"/>
        <w:jc w:val="both"/>
        <w:rPr>
          <w:rFonts w:ascii="Arial" w:hAnsi="Arial"/>
          <w:b/>
          <w:bCs/>
        </w:rPr>
      </w:pPr>
      <w:r w:rsidRPr="00944F77">
        <w:rPr>
          <w:rFonts w:ascii="Arial" w:hAnsi="Arial" w:hint="cs"/>
          <w:b/>
          <w:bCs/>
          <w:rtl/>
        </w:rPr>
        <w:t>היעדר</w:t>
      </w:r>
      <w:r w:rsidR="008819DF" w:rsidRPr="00944F77">
        <w:rPr>
          <w:rFonts w:ascii="Arial" w:hAnsi="Arial" w:hint="cs"/>
          <w:b/>
          <w:bCs/>
          <w:rtl/>
        </w:rPr>
        <w:t xml:space="preserve"> סמכות עניינית של בית המשפט לדון בבקשה</w:t>
      </w:r>
    </w:p>
    <w:p w14:paraId="7EE6A966" w14:textId="77777777" w:rsidR="008819DF" w:rsidRDefault="008819DF" w:rsidP="008819DF">
      <w:pPr>
        <w:pStyle w:val="ab"/>
        <w:numPr>
          <w:ilvl w:val="0"/>
          <w:numId w:val="4"/>
        </w:numPr>
        <w:spacing w:line="360" w:lineRule="auto"/>
        <w:jc w:val="both"/>
        <w:rPr>
          <w:rFonts w:ascii="Arial" w:hAnsi="Arial"/>
        </w:rPr>
      </w:pPr>
      <w:r>
        <w:rPr>
          <w:rFonts w:ascii="Arial" w:hAnsi="Arial" w:hint="cs"/>
          <w:rtl/>
        </w:rPr>
        <w:t xml:space="preserve">מאחר ובית משפט זה </w:t>
      </w:r>
      <w:r w:rsidRPr="008819DF">
        <w:rPr>
          <w:rFonts w:ascii="Arial" w:hAnsi="Arial" w:hint="cs"/>
          <w:b/>
          <w:bCs/>
          <w:rtl/>
        </w:rPr>
        <w:t>לא העביר</w:t>
      </w:r>
      <w:r>
        <w:rPr>
          <w:rFonts w:ascii="Arial" w:hAnsi="Arial" w:hint="cs"/>
          <w:rtl/>
        </w:rPr>
        <w:t xml:space="preserve"> את ההליך לבוררות, </w:t>
      </w:r>
      <w:r w:rsidR="00944F77">
        <w:rPr>
          <w:rFonts w:ascii="Arial" w:hAnsi="Arial" w:hint="cs"/>
          <w:rtl/>
        </w:rPr>
        <w:t>ו</w:t>
      </w:r>
      <w:r>
        <w:rPr>
          <w:rFonts w:ascii="Arial" w:hAnsi="Arial" w:hint="cs"/>
          <w:rtl/>
        </w:rPr>
        <w:t xml:space="preserve">הצדדים פנו עצמאית להליך זה, ועל כן על המבקש להגיש בקשה לערכאה המוסמכת על פי חוק הבוררות. </w:t>
      </w:r>
    </w:p>
    <w:p w14:paraId="71FDBB97" w14:textId="77777777" w:rsidR="008819DF" w:rsidRDefault="008819DF" w:rsidP="008819DF">
      <w:pPr>
        <w:pStyle w:val="ab"/>
        <w:numPr>
          <w:ilvl w:val="0"/>
          <w:numId w:val="5"/>
        </w:numPr>
        <w:spacing w:line="360" w:lineRule="auto"/>
        <w:jc w:val="both"/>
        <w:rPr>
          <w:rFonts w:ascii="Arial" w:hAnsi="Arial"/>
          <w:b/>
          <w:bCs/>
        </w:rPr>
      </w:pPr>
      <w:r w:rsidRPr="008819DF">
        <w:rPr>
          <w:rFonts w:ascii="Arial" w:hAnsi="Arial" w:hint="cs"/>
          <w:b/>
          <w:bCs/>
          <w:rtl/>
        </w:rPr>
        <w:t>לגופה של הבקשה</w:t>
      </w:r>
    </w:p>
    <w:p w14:paraId="2E1294B4" w14:textId="474B1C9D" w:rsidR="008819DF" w:rsidRDefault="008819DF" w:rsidP="003601ED">
      <w:pPr>
        <w:pStyle w:val="ab"/>
        <w:numPr>
          <w:ilvl w:val="0"/>
          <w:numId w:val="4"/>
        </w:numPr>
        <w:spacing w:line="360" w:lineRule="auto"/>
        <w:jc w:val="both"/>
        <w:rPr>
          <w:rFonts w:ascii="Arial" w:hAnsi="Arial"/>
        </w:rPr>
      </w:pPr>
      <w:r w:rsidRPr="008819DF">
        <w:rPr>
          <w:rFonts w:ascii="Arial" w:hAnsi="Arial" w:hint="cs"/>
          <w:rtl/>
        </w:rPr>
        <w:t xml:space="preserve">הצדדים פנו במשותף להליך הבוררות, </w:t>
      </w:r>
      <w:r>
        <w:rPr>
          <w:rFonts w:ascii="Arial" w:hAnsi="Arial" w:hint="cs"/>
          <w:rtl/>
        </w:rPr>
        <w:t xml:space="preserve">המחלוקת הינה מחלוקת כספית, בכתב התביעה שנמחק עתר </w:t>
      </w:r>
      <w:r w:rsidR="003601ED">
        <w:rPr>
          <w:rFonts w:ascii="Arial" w:hAnsi="Arial" w:hint="cs"/>
          <w:rtl/>
        </w:rPr>
        <w:t xml:space="preserve">המבקש </w:t>
      </w:r>
      <w:r>
        <w:rPr>
          <w:rFonts w:ascii="Arial" w:hAnsi="Arial" w:hint="cs"/>
          <w:rtl/>
        </w:rPr>
        <w:t>לקבלת דפי חשבונות בנק</w:t>
      </w:r>
      <w:r w:rsidR="00944F77">
        <w:rPr>
          <w:rFonts w:ascii="Arial" w:hAnsi="Arial" w:hint="cs"/>
          <w:rtl/>
        </w:rPr>
        <w:t xml:space="preserve"> בלבד</w:t>
      </w:r>
      <w:r>
        <w:rPr>
          <w:rFonts w:ascii="Arial" w:hAnsi="Arial" w:hint="cs"/>
          <w:rtl/>
        </w:rPr>
        <w:t>, הצדדים קיימו דיון ארוך אצל כב' הבוררת, במהלכה לא הועלתה כל טענה כנגד מקצועיותה של הבוררת</w:t>
      </w:r>
      <w:r w:rsidR="000B1D47">
        <w:rPr>
          <w:rFonts w:ascii="Arial" w:hAnsi="Arial" w:hint="cs"/>
          <w:rtl/>
        </w:rPr>
        <w:t xml:space="preserve">. </w:t>
      </w:r>
    </w:p>
    <w:p w14:paraId="19DF992E" w14:textId="77777777" w:rsidR="000B1D47" w:rsidRDefault="00944F77" w:rsidP="00034181">
      <w:pPr>
        <w:pStyle w:val="ab"/>
        <w:numPr>
          <w:ilvl w:val="0"/>
          <w:numId w:val="4"/>
        </w:numPr>
        <w:spacing w:line="360" w:lineRule="auto"/>
        <w:jc w:val="both"/>
        <w:rPr>
          <w:rFonts w:ascii="Arial" w:hAnsi="Arial"/>
        </w:rPr>
      </w:pPr>
      <w:r>
        <w:rPr>
          <w:rFonts w:ascii="Arial" w:hAnsi="Arial" w:hint="cs"/>
          <w:rtl/>
        </w:rPr>
        <w:lastRenderedPageBreak/>
        <w:t>המשיבה מפרטת כי ביום 1.5.24 הוגשה על ידה</w:t>
      </w:r>
      <w:r w:rsidR="000B1D47">
        <w:rPr>
          <w:rFonts w:ascii="Arial" w:hAnsi="Arial" w:hint="cs"/>
          <w:rtl/>
        </w:rPr>
        <w:t xml:space="preserve"> בקשה להורות על אי מסירת החזקה בדירות העיזבון, בקשה אליה התנגד המבקש, אולם ביום 12.5.24 התקבלה החלטת הבוררת המורה לצדדים שלא לקבל חזקה בדירות, אלא לאחר הכרעתה בהגרלה המייחדת את שתי דירות העיזבון למי מהצדדים. </w:t>
      </w:r>
    </w:p>
    <w:p w14:paraId="320440BE" w14:textId="77777777" w:rsidR="000B1D47" w:rsidRDefault="000B1D47" w:rsidP="008819DF">
      <w:pPr>
        <w:pStyle w:val="ab"/>
        <w:numPr>
          <w:ilvl w:val="0"/>
          <w:numId w:val="4"/>
        </w:numPr>
        <w:spacing w:line="360" w:lineRule="auto"/>
        <w:jc w:val="both"/>
        <w:rPr>
          <w:rFonts w:ascii="Arial" w:hAnsi="Arial"/>
        </w:rPr>
      </w:pPr>
      <w:r>
        <w:rPr>
          <w:rFonts w:ascii="Arial" w:hAnsi="Arial" w:hint="cs"/>
          <w:rtl/>
        </w:rPr>
        <w:t xml:space="preserve">לאחר החלטה זו </w:t>
      </w:r>
      <w:r w:rsidR="00034181">
        <w:rPr>
          <w:rFonts w:ascii="Arial" w:hAnsi="Arial" w:hint="cs"/>
          <w:rtl/>
        </w:rPr>
        <w:t xml:space="preserve">ובעקבותיה </w:t>
      </w:r>
      <w:r>
        <w:rPr>
          <w:rFonts w:ascii="Arial" w:hAnsi="Arial" w:hint="cs"/>
          <w:rtl/>
        </w:rPr>
        <w:t xml:space="preserve">החליט המבקש להפסיק את הבוררות, אולם לאחר שהתברר כי אין דרך להודיע על הפסקת בוררות, חזרו הצדדים להליך בהודעה מוסכמת מיום 16.5.24. </w:t>
      </w:r>
    </w:p>
    <w:p w14:paraId="68349A5A" w14:textId="77777777" w:rsidR="000B1D47" w:rsidRDefault="000B1D47" w:rsidP="008819DF">
      <w:pPr>
        <w:pStyle w:val="ab"/>
        <w:numPr>
          <w:ilvl w:val="0"/>
          <w:numId w:val="4"/>
        </w:numPr>
        <w:spacing w:line="360" w:lineRule="auto"/>
        <w:jc w:val="both"/>
        <w:rPr>
          <w:rFonts w:ascii="Arial" w:hAnsi="Arial"/>
        </w:rPr>
      </w:pPr>
      <w:r>
        <w:rPr>
          <w:rFonts w:ascii="Arial" w:hAnsi="Arial" w:hint="cs"/>
          <w:rtl/>
        </w:rPr>
        <w:t xml:space="preserve">מכאן שחל השתק ושיהוי בהעלאת טענות המבקש כנגד הבוררות או הבוררת, </w:t>
      </w:r>
      <w:r w:rsidR="00784028">
        <w:rPr>
          <w:rFonts w:ascii="Arial" w:hAnsi="Arial" w:hint="cs"/>
          <w:rtl/>
        </w:rPr>
        <w:t xml:space="preserve">וגם הטענות שהועלו הן טענות ציניות מובהקות, ואין בהחלפת ייצוג כדי לאיין הסכמות אליהן הגיעו הצדדים לפני חילופי הייצוג. </w:t>
      </w:r>
    </w:p>
    <w:p w14:paraId="45126D06" w14:textId="77777777" w:rsidR="00784028" w:rsidRDefault="00784028" w:rsidP="008819DF">
      <w:pPr>
        <w:pStyle w:val="ab"/>
        <w:numPr>
          <w:ilvl w:val="0"/>
          <w:numId w:val="4"/>
        </w:numPr>
        <w:spacing w:line="360" w:lineRule="auto"/>
        <w:jc w:val="both"/>
        <w:rPr>
          <w:rFonts w:ascii="Arial" w:hAnsi="Arial"/>
        </w:rPr>
      </w:pPr>
      <w:r>
        <w:rPr>
          <w:rFonts w:ascii="Arial" w:hAnsi="Arial" w:hint="cs"/>
          <w:rtl/>
        </w:rPr>
        <w:t xml:space="preserve">לבסוף, נטען כי המחלוקת בין הצדדים אינה כלל מחלוקת מתחום דיני המשפחה, כי המבקש הסתיר עובדות מפני בית משפט זה, וחמור מכך </w:t>
      </w:r>
      <w:r>
        <w:rPr>
          <w:rFonts w:ascii="Arial" w:hAnsi="Arial"/>
          <w:rtl/>
        </w:rPr>
        <w:t>–</w:t>
      </w:r>
      <w:r>
        <w:rPr>
          <w:rFonts w:ascii="Arial" w:hAnsi="Arial" w:hint="cs"/>
          <w:rtl/>
        </w:rPr>
        <w:t xml:space="preserve"> נטענה על ידי ב"כ המבקש טענה עובדתית שלא אומתה בתצהיר לגבי תשובות המוסד לבוררות </w:t>
      </w:r>
      <w:r>
        <w:rPr>
          <w:rFonts w:ascii="Arial" w:hAnsi="Arial"/>
          <w:rtl/>
        </w:rPr>
        <w:t>–</w:t>
      </w:r>
      <w:r>
        <w:rPr>
          <w:rFonts w:ascii="Arial" w:hAnsi="Arial" w:hint="cs"/>
          <w:rtl/>
        </w:rPr>
        <w:t xml:space="preserve"> טענה שהתבררה כלא מדויקת בלשון המעטה.</w:t>
      </w:r>
    </w:p>
    <w:p w14:paraId="6EED6275" w14:textId="77777777" w:rsidR="00784028" w:rsidRDefault="00772E3E" w:rsidP="008819DF">
      <w:pPr>
        <w:pStyle w:val="ab"/>
        <w:numPr>
          <w:ilvl w:val="0"/>
          <w:numId w:val="4"/>
        </w:numPr>
        <w:spacing w:line="360" w:lineRule="auto"/>
        <w:jc w:val="both"/>
        <w:rPr>
          <w:rFonts w:ascii="Arial" w:hAnsi="Arial"/>
        </w:rPr>
      </w:pPr>
      <w:r>
        <w:rPr>
          <w:rFonts w:ascii="Arial" w:hAnsi="Arial" w:hint="cs"/>
          <w:rtl/>
        </w:rPr>
        <w:t xml:space="preserve">למצער, </w:t>
      </w:r>
      <w:r w:rsidR="00784028">
        <w:rPr>
          <w:rFonts w:ascii="Arial" w:hAnsi="Arial" w:hint="cs"/>
          <w:rtl/>
        </w:rPr>
        <w:t xml:space="preserve">ב"כ המשיבה עותר לאפשר לו לחקור את המבקש ואת באת כוחו, </w:t>
      </w:r>
      <w:r>
        <w:rPr>
          <w:rFonts w:ascii="Arial" w:hAnsi="Arial" w:hint="cs"/>
          <w:rtl/>
        </w:rPr>
        <w:t xml:space="preserve">לאור המפורט לעיל, ואולם לאור הטענות המקדמיות </w:t>
      </w:r>
      <w:r>
        <w:rPr>
          <w:rFonts w:ascii="Arial" w:hAnsi="Arial"/>
          <w:rtl/>
        </w:rPr>
        <w:t>–</w:t>
      </w:r>
      <w:r>
        <w:rPr>
          <w:rFonts w:ascii="Arial" w:hAnsi="Arial" w:hint="cs"/>
          <w:rtl/>
        </w:rPr>
        <w:t xml:space="preserve"> עותר לדחיית הבקשה וחיוב בהוצאות ראליות בגינה. </w:t>
      </w:r>
    </w:p>
    <w:p w14:paraId="23E71632" w14:textId="77777777" w:rsidR="00772E3E" w:rsidRDefault="00772E3E" w:rsidP="00772E3E">
      <w:pPr>
        <w:spacing w:line="360" w:lineRule="auto"/>
        <w:jc w:val="both"/>
        <w:rPr>
          <w:rFonts w:ascii="Arial" w:hAnsi="Arial"/>
          <w:b/>
          <w:bCs/>
          <w:u w:val="single"/>
          <w:rtl/>
        </w:rPr>
      </w:pPr>
      <w:r w:rsidRPr="00772E3E">
        <w:rPr>
          <w:rFonts w:ascii="Arial" w:hAnsi="Arial" w:hint="cs"/>
          <w:b/>
          <w:bCs/>
          <w:u w:val="single"/>
          <w:rtl/>
        </w:rPr>
        <w:t>תגובת ב"כ המבקש</w:t>
      </w:r>
    </w:p>
    <w:p w14:paraId="734B4105" w14:textId="77777777" w:rsidR="00772E3E" w:rsidRDefault="00772E3E" w:rsidP="00772E3E">
      <w:pPr>
        <w:pStyle w:val="ab"/>
        <w:numPr>
          <w:ilvl w:val="0"/>
          <w:numId w:val="4"/>
        </w:numPr>
        <w:spacing w:line="360" w:lineRule="auto"/>
        <w:jc w:val="both"/>
        <w:rPr>
          <w:rFonts w:ascii="Arial" w:hAnsi="Arial"/>
        </w:rPr>
      </w:pPr>
      <w:r w:rsidRPr="00772E3E">
        <w:rPr>
          <w:rFonts w:ascii="Arial" w:hAnsi="Arial" w:hint="cs"/>
          <w:rtl/>
        </w:rPr>
        <w:t>על פי החלטת בית המשפט הוגשה תגובה מטעם ב"כ המבקש.</w:t>
      </w:r>
      <w:r>
        <w:rPr>
          <w:rFonts w:ascii="Arial" w:hAnsi="Arial" w:hint="cs"/>
          <w:rtl/>
        </w:rPr>
        <w:t xml:space="preserve"> בתגובה זו הפנתה ב"כ המבקש לסמכותו של בית משפט זה </w:t>
      </w:r>
      <w:r w:rsidR="001B29D6">
        <w:rPr>
          <w:rFonts w:ascii="Arial" w:hAnsi="Arial" w:hint="cs"/>
          <w:rtl/>
        </w:rPr>
        <w:t xml:space="preserve">בענייני ירושות וצוואות על פי חוק, כי במקרה זה מדובר בסכסוך בין אחים בנוגע לאפוטרופסות, ובנוגע לחלוקת נכסי וכספי ירושה. </w:t>
      </w:r>
    </w:p>
    <w:p w14:paraId="290A5A40" w14:textId="77777777" w:rsidR="001B29D6" w:rsidRDefault="001B29D6" w:rsidP="00646DEE">
      <w:pPr>
        <w:pStyle w:val="ab"/>
        <w:numPr>
          <w:ilvl w:val="0"/>
          <w:numId w:val="4"/>
        </w:numPr>
        <w:spacing w:line="360" w:lineRule="auto"/>
        <w:jc w:val="both"/>
        <w:rPr>
          <w:rFonts w:ascii="Arial" w:hAnsi="Arial"/>
        </w:rPr>
      </w:pPr>
      <w:r>
        <w:rPr>
          <w:rFonts w:ascii="Arial" w:hAnsi="Arial" w:hint="cs"/>
          <w:rtl/>
        </w:rPr>
        <w:lastRenderedPageBreak/>
        <w:t xml:space="preserve">מוסיפה ב"כ המבקש כי ההליך "הועבר בשגגה" למוסד אשר אינו מוסמך לדון בענייני משפחה, </w:t>
      </w:r>
      <w:r w:rsidR="00034181">
        <w:rPr>
          <w:rFonts w:ascii="Arial" w:hAnsi="Arial" w:hint="cs"/>
          <w:rtl/>
        </w:rPr>
        <w:t>ו</w:t>
      </w:r>
      <w:r>
        <w:rPr>
          <w:rFonts w:ascii="Arial" w:hAnsi="Arial" w:hint="cs"/>
          <w:rtl/>
        </w:rPr>
        <w:t>נתונה הסמכות בידי בית משפט נכבד זה להעברת הבורר מתפקידו על פי סעיף 11 (1) לחוק הבוררות</w:t>
      </w:r>
      <w:r w:rsidR="00646DEE">
        <w:rPr>
          <w:rFonts w:ascii="Arial" w:hAnsi="Arial" w:hint="cs"/>
          <w:rtl/>
        </w:rPr>
        <w:t xml:space="preserve"> תשכ"ח - 1968 (להלן </w:t>
      </w:r>
      <w:r w:rsidR="00646DEE">
        <w:rPr>
          <w:rFonts w:ascii="Arial" w:hAnsi="Arial"/>
          <w:rtl/>
        </w:rPr>
        <w:t>–</w:t>
      </w:r>
      <w:r w:rsidR="00646DEE">
        <w:rPr>
          <w:rFonts w:ascii="Arial" w:hAnsi="Arial" w:hint="cs"/>
          <w:rtl/>
        </w:rPr>
        <w:t xml:space="preserve"> "</w:t>
      </w:r>
      <w:r w:rsidR="00646DEE" w:rsidRPr="003601ED">
        <w:rPr>
          <w:rFonts w:ascii="Arial" w:hAnsi="Arial" w:hint="cs"/>
          <w:b/>
          <w:bCs/>
          <w:rtl/>
        </w:rPr>
        <w:t>חוק הבוררות</w:t>
      </w:r>
      <w:r w:rsidR="00646DEE">
        <w:rPr>
          <w:rFonts w:ascii="Arial" w:hAnsi="Arial" w:hint="cs"/>
          <w:rtl/>
        </w:rPr>
        <w:t>")</w:t>
      </w:r>
      <w:r>
        <w:rPr>
          <w:rFonts w:ascii="Arial" w:hAnsi="Arial" w:hint="cs"/>
          <w:rtl/>
        </w:rPr>
        <w:t xml:space="preserve">. </w:t>
      </w:r>
    </w:p>
    <w:p w14:paraId="0D34FF6D" w14:textId="77777777" w:rsidR="001B29D6" w:rsidRDefault="001B29D6" w:rsidP="00772E3E">
      <w:pPr>
        <w:pStyle w:val="ab"/>
        <w:numPr>
          <w:ilvl w:val="0"/>
          <w:numId w:val="4"/>
        </w:numPr>
        <w:spacing w:line="360" w:lineRule="auto"/>
        <w:jc w:val="both"/>
        <w:rPr>
          <w:rFonts w:ascii="Arial" w:hAnsi="Arial"/>
        </w:rPr>
      </w:pPr>
      <w:r>
        <w:rPr>
          <w:rFonts w:ascii="Arial" w:hAnsi="Arial" w:hint="cs"/>
          <w:rtl/>
        </w:rPr>
        <w:t xml:space="preserve">מוסיפה ב"כ המבקש טענות לעניין הסכם הבוררות, לכך שיש בסמכות בית המשפט להעביר בורר מתפקידו, למנות בורר חליף או להחליט כי נושא הבוררות לא יידון בבוררות </w:t>
      </w:r>
      <w:r w:rsidR="00197F5D">
        <w:rPr>
          <w:rFonts w:ascii="Arial" w:hAnsi="Arial" w:hint="cs"/>
          <w:rtl/>
        </w:rPr>
        <w:t xml:space="preserve">כל זאת על פי סעיף 12 (ב) לחוק הבוררות. </w:t>
      </w:r>
      <w:r w:rsidR="00034181">
        <w:rPr>
          <w:rFonts w:ascii="Arial" w:hAnsi="Arial" w:hint="cs"/>
          <w:rtl/>
        </w:rPr>
        <w:t xml:space="preserve">חשוב לציין כי הסכם הבוררות לא הוגש כלל לבית המשפט. </w:t>
      </w:r>
    </w:p>
    <w:p w14:paraId="4537B896" w14:textId="77777777" w:rsidR="00197F5D" w:rsidRDefault="00197F5D" w:rsidP="00772E3E">
      <w:pPr>
        <w:pStyle w:val="ab"/>
        <w:numPr>
          <w:ilvl w:val="0"/>
          <w:numId w:val="4"/>
        </w:numPr>
        <w:spacing w:line="360" w:lineRule="auto"/>
        <w:jc w:val="both"/>
        <w:rPr>
          <w:rFonts w:ascii="Arial" w:hAnsi="Arial"/>
        </w:rPr>
      </w:pPr>
      <w:r>
        <w:rPr>
          <w:rFonts w:ascii="Arial" w:hAnsi="Arial" w:hint="cs"/>
          <w:rtl/>
        </w:rPr>
        <w:t xml:space="preserve">מוסיפה ב"כ המבקש כי </w:t>
      </w:r>
      <w:r w:rsidR="00646DEE">
        <w:rPr>
          <w:rFonts w:ascii="Arial" w:hAnsi="Arial" w:hint="cs"/>
          <w:rtl/>
        </w:rPr>
        <w:t xml:space="preserve">יש </w:t>
      </w:r>
      <w:r>
        <w:rPr>
          <w:rFonts w:ascii="Arial" w:hAnsi="Arial" w:hint="cs"/>
          <w:rtl/>
        </w:rPr>
        <w:t xml:space="preserve">לבטל את מחיקת התביעה או לחילופין ככל שיקבע בית המשפט כי יש להגיש תובענה חדשה </w:t>
      </w:r>
      <w:r>
        <w:rPr>
          <w:rFonts w:ascii="Arial" w:hAnsi="Arial"/>
          <w:rtl/>
        </w:rPr>
        <w:t>–</w:t>
      </w:r>
      <w:r>
        <w:rPr>
          <w:rFonts w:ascii="Arial" w:hAnsi="Arial" w:hint="cs"/>
          <w:rtl/>
        </w:rPr>
        <w:t xml:space="preserve"> לתת </w:t>
      </w:r>
      <w:r w:rsidRPr="00646DEE">
        <w:rPr>
          <w:rFonts w:ascii="Arial" w:hAnsi="Arial" w:hint="cs"/>
          <w:b/>
          <w:bCs/>
          <w:rtl/>
        </w:rPr>
        <w:t>צו להקפאת הליכי הבוררות</w:t>
      </w:r>
      <w:r>
        <w:rPr>
          <w:rFonts w:ascii="Arial" w:hAnsi="Arial" w:hint="cs"/>
          <w:rtl/>
        </w:rPr>
        <w:t xml:space="preserve">. </w:t>
      </w:r>
    </w:p>
    <w:p w14:paraId="05B130FB" w14:textId="77777777" w:rsidR="00034181" w:rsidRDefault="00034181" w:rsidP="00034181">
      <w:pPr>
        <w:pStyle w:val="ab"/>
        <w:spacing w:line="360" w:lineRule="auto"/>
        <w:jc w:val="both"/>
        <w:rPr>
          <w:rFonts w:ascii="Arial" w:hAnsi="Arial"/>
        </w:rPr>
      </w:pPr>
    </w:p>
    <w:p w14:paraId="79B0C288" w14:textId="77777777" w:rsidR="000C400E" w:rsidRDefault="000C400E" w:rsidP="000C400E">
      <w:pPr>
        <w:spacing w:line="360" w:lineRule="auto"/>
        <w:jc w:val="both"/>
        <w:rPr>
          <w:rFonts w:ascii="Arial" w:hAnsi="Arial"/>
          <w:b/>
          <w:bCs/>
          <w:u w:val="single"/>
          <w:rtl/>
        </w:rPr>
      </w:pPr>
      <w:r w:rsidRPr="000C400E">
        <w:rPr>
          <w:rFonts w:ascii="Arial" w:hAnsi="Arial" w:hint="cs"/>
          <w:b/>
          <w:bCs/>
          <w:u w:val="single"/>
          <w:rtl/>
        </w:rPr>
        <w:t xml:space="preserve">דיון </w:t>
      </w:r>
      <w:r>
        <w:rPr>
          <w:rFonts w:ascii="Arial" w:hAnsi="Arial" w:hint="cs"/>
          <w:b/>
          <w:bCs/>
          <w:u w:val="single"/>
          <w:rtl/>
        </w:rPr>
        <w:t xml:space="preserve">והכרעה </w:t>
      </w:r>
    </w:p>
    <w:p w14:paraId="0D23C1D6" w14:textId="77777777" w:rsidR="000C400E" w:rsidRDefault="000C400E" w:rsidP="00E25356">
      <w:pPr>
        <w:spacing w:line="360" w:lineRule="auto"/>
        <w:jc w:val="both"/>
        <w:rPr>
          <w:rFonts w:ascii="Arial" w:hAnsi="Arial"/>
          <w:b/>
          <w:bCs/>
          <w:rtl/>
        </w:rPr>
      </w:pPr>
    </w:p>
    <w:p w14:paraId="2FCFEDE8" w14:textId="77777777" w:rsidR="00E25356" w:rsidRPr="000C400E" w:rsidRDefault="00E25356" w:rsidP="00E25356">
      <w:pPr>
        <w:spacing w:line="360" w:lineRule="auto"/>
        <w:jc w:val="both"/>
        <w:rPr>
          <w:rFonts w:ascii="Arial" w:hAnsi="Arial"/>
          <w:b/>
          <w:bCs/>
          <w:rtl/>
        </w:rPr>
      </w:pPr>
      <w:r>
        <w:rPr>
          <w:rFonts w:ascii="Arial" w:hAnsi="Arial" w:hint="cs"/>
          <w:b/>
          <w:bCs/>
          <w:rtl/>
        </w:rPr>
        <w:t>התביעה שהוגשה אל מול הליך הבוררות</w:t>
      </w:r>
    </w:p>
    <w:p w14:paraId="56E6BBD7" w14:textId="77777777" w:rsidR="005B5D57" w:rsidRDefault="00E25356" w:rsidP="00646DEE">
      <w:pPr>
        <w:pStyle w:val="ab"/>
        <w:numPr>
          <w:ilvl w:val="0"/>
          <w:numId w:val="4"/>
        </w:numPr>
        <w:spacing w:line="360" w:lineRule="auto"/>
        <w:jc w:val="both"/>
        <w:rPr>
          <w:rFonts w:ascii="Arial" w:hAnsi="Arial"/>
        </w:rPr>
      </w:pPr>
      <w:r>
        <w:rPr>
          <w:rFonts w:ascii="Arial" w:hAnsi="Arial" w:hint="cs"/>
          <w:rtl/>
        </w:rPr>
        <w:t>בתביעה שהוגשה בפני בית משפט</w:t>
      </w:r>
      <w:r w:rsidR="00646DEE">
        <w:rPr>
          <w:rFonts w:ascii="Arial" w:hAnsi="Arial" w:hint="cs"/>
          <w:rtl/>
        </w:rPr>
        <w:t xml:space="preserve"> זה</w:t>
      </w:r>
      <w:r>
        <w:rPr>
          <w:rFonts w:ascii="Arial" w:hAnsi="Arial" w:hint="cs"/>
          <w:rtl/>
        </w:rPr>
        <w:t xml:space="preserve"> נתבקשו הסעדים הבאים: </w:t>
      </w:r>
    </w:p>
    <w:p w14:paraId="6CC109C9" w14:textId="4CB69B68" w:rsidR="00CB16F4" w:rsidRDefault="00A14AA6" w:rsidP="00CB16F4">
      <w:pPr>
        <w:pStyle w:val="ab"/>
        <w:spacing w:line="360" w:lineRule="auto"/>
        <w:ind w:left="1440"/>
        <w:jc w:val="both"/>
        <w:rPr>
          <w:rFonts w:ascii="Arial" w:hAnsi="Arial"/>
          <w:b/>
          <w:bCs/>
          <w:noProof/>
          <w:sz w:val="22"/>
          <w:szCs w:val="22"/>
          <w:rtl/>
        </w:rPr>
      </w:pPr>
      <w:r>
        <w:rPr>
          <w:rFonts w:ascii="Arial" w:hAnsi="Arial" w:hint="cs"/>
          <w:b/>
          <w:bCs/>
          <w:noProof/>
          <w:sz w:val="22"/>
          <w:szCs w:val="22"/>
          <w:rtl/>
        </w:rPr>
        <w:t xml:space="preserve">במצב הנ"ל מבוקש מביהמ"ש הנכבד: </w:t>
      </w:r>
    </w:p>
    <w:p w14:paraId="5CB93755" w14:textId="7EF7AC1B" w:rsidR="00A14AA6" w:rsidRDefault="00A14AA6" w:rsidP="00A14AA6">
      <w:pPr>
        <w:pStyle w:val="ab"/>
        <w:numPr>
          <w:ilvl w:val="0"/>
          <w:numId w:val="8"/>
        </w:numPr>
        <w:spacing w:line="360" w:lineRule="auto"/>
        <w:jc w:val="both"/>
        <w:rPr>
          <w:rFonts w:ascii="Arial" w:hAnsi="Arial"/>
          <w:b/>
          <w:bCs/>
          <w:sz w:val="22"/>
          <w:szCs w:val="22"/>
        </w:rPr>
      </w:pPr>
      <w:r>
        <w:rPr>
          <w:rFonts w:ascii="Arial" w:hAnsi="Arial" w:hint="cs"/>
          <w:b/>
          <w:bCs/>
          <w:noProof/>
          <w:sz w:val="22"/>
          <w:szCs w:val="22"/>
          <w:rtl/>
        </w:rPr>
        <w:t xml:space="preserve">לחייב את הנתבעת למסור לתובע ולביהמ"ש את דפי הבנק של 3 החשבונות הנ"ל או של כל חשבון בנק אחר שלהם, מאז 2010 ועד להגשת התביעה וממועד הגשתה עד להחלטה אחרת של ביהמ"ש. </w:t>
      </w:r>
    </w:p>
    <w:p w14:paraId="58169A36" w14:textId="10F91444" w:rsidR="00A14AA6" w:rsidRDefault="00A14AA6" w:rsidP="00A14AA6">
      <w:pPr>
        <w:pStyle w:val="ab"/>
        <w:numPr>
          <w:ilvl w:val="0"/>
          <w:numId w:val="8"/>
        </w:numPr>
        <w:spacing w:line="360" w:lineRule="auto"/>
        <w:jc w:val="both"/>
        <w:rPr>
          <w:rFonts w:ascii="Arial" w:hAnsi="Arial"/>
          <w:b/>
          <w:bCs/>
          <w:sz w:val="22"/>
          <w:szCs w:val="22"/>
        </w:rPr>
      </w:pPr>
      <w:r>
        <w:rPr>
          <w:rFonts w:ascii="Arial" w:hAnsi="Arial" w:hint="cs"/>
          <w:b/>
          <w:bCs/>
          <w:noProof/>
          <w:sz w:val="22"/>
          <w:szCs w:val="22"/>
          <w:rtl/>
        </w:rPr>
        <w:lastRenderedPageBreak/>
        <w:t xml:space="preserve">להורות ל-2 הבנקים הנ"ל או לבנק אחר שיתגלה בביהמ"ש למסור לתובע ולביהמ"ש דפי חשבון + מסמכים לגבי תנועות הכספים ב- 2 החשבונות הנ"ל ג"כ מאז 2010 ועד עתה. </w:t>
      </w:r>
    </w:p>
    <w:p w14:paraId="7D296C04" w14:textId="1A4DD4A8" w:rsidR="00A14AA6" w:rsidRPr="00A14AA6" w:rsidRDefault="00A14AA6" w:rsidP="00A14AA6">
      <w:pPr>
        <w:pStyle w:val="ab"/>
        <w:numPr>
          <w:ilvl w:val="0"/>
          <w:numId w:val="8"/>
        </w:numPr>
        <w:spacing w:line="360" w:lineRule="auto"/>
        <w:jc w:val="both"/>
        <w:rPr>
          <w:rFonts w:ascii="Arial" w:hAnsi="Arial"/>
          <w:b/>
          <w:bCs/>
          <w:sz w:val="22"/>
          <w:szCs w:val="22"/>
        </w:rPr>
      </w:pPr>
      <w:r>
        <w:rPr>
          <w:rFonts w:ascii="Arial" w:hAnsi="Arial" w:hint="cs"/>
          <w:b/>
          <w:bCs/>
          <w:noProof/>
          <w:sz w:val="22"/>
          <w:szCs w:val="22"/>
          <w:rtl/>
        </w:rPr>
        <w:t xml:space="preserve">כתב התביעה/ הבקשה דנן היא פועלת לטובת "האמא"- החסויה. </w:t>
      </w:r>
    </w:p>
    <w:p w14:paraId="44A14653" w14:textId="77777777" w:rsidR="0002177A" w:rsidRPr="003601ED" w:rsidRDefault="0002177A">
      <w:pPr>
        <w:spacing w:line="360" w:lineRule="auto"/>
        <w:jc w:val="both"/>
        <w:rPr>
          <w:rFonts w:ascii="Arial" w:hAnsi="Arial"/>
          <w:sz w:val="16"/>
          <w:szCs w:val="16"/>
          <w:rtl/>
        </w:rPr>
      </w:pPr>
    </w:p>
    <w:p w14:paraId="7A13C3FA" w14:textId="77777777" w:rsidR="00CB16F4" w:rsidRDefault="00CB16F4" w:rsidP="00CB16F4">
      <w:pPr>
        <w:pStyle w:val="ab"/>
        <w:numPr>
          <w:ilvl w:val="0"/>
          <w:numId w:val="4"/>
        </w:numPr>
        <w:spacing w:line="360" w:lineRule="auto"/>
        <w:jc w:val="both"/>
        <w:rPr>
          <w:rFonts w:ascii="Arial" w:hAnsi="Arial"/>
        </w:rPr>
      </w:pPr>
      <w:r>
        <w:rPr>
          <w:rFonts w:ascii="Arial" w:hAnsi="Arial" w:hint="cs"/>
          <w:rtl/>
        </w:rPr>
        <w:t xml:space="preserve">בפניית הצדדים לבוררות בהסכמה </w:t>
      </w:r>
      <w:r w:rsidR="00646DEE">
        <w:rPr>
          <w:rFonts w:ascii="Arial" w:hAnsi="Arial" w:hint="cs"/>
          <w:rtl/>
        </w:rPr>
        <w:t xml:space="preserve">(ראה נספח </w:t>
      </w:r>
      <w:r w:rsidR="00034181">
        <w:rPr>
          <w:rFonts w:ascii="Arial" w:hAnsi="Arial" w:hint="cs"/>
          <w:rtl/>
        </w:rPr>
        <w:t xml:space="preserve">א' </w:t>
      </w:r>
      <w:r w:rsidR="00646DEE">
        <w:rPr>
          <w:rFonts w:ascii="Arial" w:hAnsi="Arial" w:hint="cs"/>
          <w:rtl/>
        </w:rPr>
        <w:t xml:space="preserve">לתגובת המשיבה) </w:t>
      </w:r>
      <w:r>
        <w:rPr>
          <w:rFonts w:ascii="Arial" w:hAnsi="Arial"/>
          <w:rtl/>
        </w:rPr>
        <w:t>–</w:t>
      </w:r>
      <w:r>
        <w:rPr>
          <w:rFonts w:ascii="Arial" w:hAnsi="Arial" w:hint="cs"/>
          <w:rtl/>
        </w:rPr>
        <w:t xml:space="preserve"> פורטו הנושאים שהועברו לבוררות כך: </w:t>
      </w:r>
    </w:p>
    <w:p w14:paraId="63524840" w14:textId="77777777" w:rsidR="00CB16F4" w:rsidRPr="003601ED" w:rsidRDefault="00CB16F4" w:rsidP="00CB16F4">
      <w:pPr>
        <w:pStyle w:val="ab"/>
        <w:spacing w:line="360" w:lineRule="auto"/>
        <w:ind w:left="1440"/>
        <w:jc w:val="both"/>
        <w:rPr>
          <w:rFonts w:ascii="Arial" w:hAnsi="Arial"/>
          <w:sz w:val="16"/>
          <w:szCs w:val="16"/>
          <w:rtl/>
        </w:rPr>
      </w:pPr>
    </w:p>
    <w:p w14:paraId="66AAB7F5" w14:textId="6BE67AA3" w:rsidR="00CB16F4" w:rsidRDefault="009D22DD" w:rsidP="009D22DD">
      <w:pPr>
        <w:pStyle w:val="ab"/>
        <w:numPr>
          <w:ilvl w:val="0"/>
          <w:numId w:val="9"/>
        </w:numPr>
        <w:spacing w:line="360" w:lineRule="auto"/>
        <w:jc w:val="both"/>
        <w:rPr>
          <w:rFonts w:ascii="Arial" w:hAnsi="Arial"/>
          <w:b/>
          <w:bCs/>
          <w:sz w:val="22"/>
          <w:szCs w:val="22"/>
        </w:rPr>
      </w:pPr>
      <w:r>
        <w:rPr>
          <w:rFonts w:ascii="Arial" w:hAnsi="Arial" w:hint="cs"/>
          <w:b/>
          <w:bCs/>
          <w:noProof/>
          <w:sz w:val="22"/>
          <w:szCs w:val="22"/>
          <w:rtl/>
        </w:rPr>
        <w:t xml:space="preserve">בין מרשינו התעוררה מחלוקת בנוגע לכספים השייכים להוריהם המנוחים, בעת שהצדדים מונו כאפוטרופסים לגוף ולרכוש הוריהם המנוחים. </w:t>
      </w:r>
    </w:p>
    <w:p w14:paraId="6B306619" w14:textId="227CB752" w:rsidR="009D22DD" w:rsidRDefault="009D22DD" w:rsidP="009D22DD">
      <w:pPr>
        <w:pStyle w:val="ab"/>
        <w:numPr>
          <w:ilvl w:val="0"/>
          <w:numId w:val="9"/>
        </w:numPr>
        <w:spacing w:line="360" w:lineRule="auto"/>
        <w:jc w:val="both"/>
        <w:rPr>
          <w:rFonts w:ascii="Arial" w:hAnsi="Arial"/>
          <w:b/>
          <w:bCs/>
          <w:sz w:val="22"/>
          <w:szCs w:val="22"/>
        </w:rPr>
      </w:pPr>
      <w:r>
        <w:rPr>
          <w:rFonts w:ascii="Arial" w:hAnsi="Arial" w:hint="cs"/>
          <w:b/>
          <w:bCs/>
          <w:noProof/>
          <w:sz w:val="22"/>
          <w:szCs w:val="22"/>
          <w:rtl/>
        </w:rPr>
        <w:t xml:space="preserve">נבקשכם למנות בורר שיכריע במחלוקות בין מרשינו, אשר יפורטו במסגרת הגשת כתבי הטענות. </w:t>
      </w:r>
    </w:p>
    <w:p w14:paraId="25918933" w14:textId="77777777" w:rsidR="003601ED" w:rsidRPr="003601ED" w:rsidRDefault="003601ED" w:rsidP="003601ED">
      <w:pPr>
        <w:pStyle w:val="ab"/>
        <w:spacing w:line="360" w:lineRule="auto"/>
        <w:ind w:left="1800"/>
        <w:jc w:val="both"/>
        <w:rPr>
          <w:rFonts w:ascii="Arial" w:hAnsi="Arial"/>
          <w:b/>
          <w:bCs/>
          <w:sz w:val="16"/>
          <w:szCs w:val="16"/>
          <w:rtl/>
        </w:rPr>
      </w:pPr>
    </w:p>
    <w:p w14:paraId="3E6023BF" w14:textId="77777777" w:rsidR="00CB16F4" w:rsidRDefault="002E5657" w:rsidP="00646DEE">
      <w:pPr>
        <w:pStyle w:val="ab"/>
        <w:numPr>
          <w:ilvl w:val="0"/>
          <w:numId w:val="4"/>
        </w:numPr>
        <w:spacing w:line="360" w:lineRule="auto"/>
        <w:jc w:val="both"/>
        <w:rPr>
          <w:rFonts w:ascii="Arial" w:hAnsi="Arial"/>
        </w:rPr>
      </w:pPr>
      <w:r>
        <w:rPr>
          <w:rFonts w:ascii="Arial" w:hAnsi="Arial" w:hint="cs"/>
          <w:rtl/>
        </w:rPr>
        <w:t xml:space="preserve">מהמפורט לעיל עולה בבירור כי אין קשר בין התובענה שנמחקה לבין </w:t>
      </w:r>
      <w:r w:rsidR="00646DEE">
        <w:rPr>
          <w:rFonts w:ascii="Arial" w:hAnsi="Arial" w:hint="cs"/>
          <w:rtl/>
        </w:rPr>
        <w:t>ה</w:t>
      </w:r>
      <w:r>
        <w:rPr>
          <w:rFonts w:ascii="Arial" w:hAnsi="Arial" w:hint="cs"/>
          <w:rtl/>
        </w:rPr>
        <w:t xml:space="preserve">הליך שהסכימו הצדדים להעביר לבוררות בפנייתם המשותפת למוסד לבוררות עסקית. </w:t>
      </w:r>
    </w:p>
    <w:p w14:paraId="094825E4" w14:textId="77777777" w:rsidR="002E5657" w:rsidRDefault="002E5657" w:rsidP="002E5657">
      <w:pPr>
        <w:spacing w:line="360" w:lineRule="auto"/>
        <w:jc w:val="both"/>
        <w:rPr>
          <w:rFonts w:ascii="Arial" w:hAnsi="Arial"/>
          <w:b/>
          <w:bCs/>
          <w:u w:val="single"/>
          <w:rtl/>
        </w:rPr>
      </w:pPr>
      <w:r w:rsidRPr="002E5657">
        <w:rPr>
          <w:rFonts w:ascii="Arial" w:hAnsi="Arial" w:hint="cs"/>
          <w:b/>
          <w:bCs/>
          <w:u w:val="single"/>
          <w:rtl/>
        </w:rPr>
        <w:t>המסגרת הנורמטיבית</w:t>
      </w:r>
    </w:p>
    <w:p w14:paraId="2FE24497" w14:textId="77777777" w:rsidR="00302AE0" w:rsidRPr="00302AE0" w:rsidRDefault="00302AE0" w:rsidP="00302AE0">
      <w:pPr>
        <w:pStyle w:val="ab"/>
        <w:numPr>
          <w:ilvl w:val="0"/>
          <w:numId w:val="7"/>
        </w:numPr>
        <w:spacing w:line="360" w:lineRule="auto"/>
        <w:jc w:val="both"/>
        <w:rPr>
          <w:rFonts w:ascii="Arial" w:hAnsi="Arial"/>
          <w:b/>
          <w:bCs/>
        </w:rPr>
      </w:pPr>
      <w:r>
        <w:rPr>
          <w:rFonts w:ascii="Arial" w:hAnsi="Arial" w:hint="cs"/>
          <w:b/>
          <w:bCs/>
          <w:rtl/>
        </w:rPr>
        <w:t xml:space="preserve">האם </w:t>
      </w:r>
      <w:r w:rsidRPr="00302AE0">
        <w:rPr>
          <w:rFonts w:ascii="Arial" w:hAnsi="Arial" w:hint="cs"/>
          <w:b/>
          <w:bCs/>
          <w:rtl/>
        </w:rPr>
        <w:t>ניתן להעביר את המחלוקת הכספית בין הצדדים להכרעתו של בורר</w:t>
      </w:r>
    </w:p>
    <w:p w14:paraId="166E2781" w14:textId="77777777" w:rsidR="00302AE0" w:rsidRDefault="00302AE0" w:rsidP="002E5657">
      <w:pPr>
        <w:pStyle w:val="ab"/>
        <w:numPr>
          <w:ilvl w:val="0"/>
          <w:numId w:val="4"/>
        </w:numPr>
        <w:spacing w:line="360" w:lineRule="auto"/>
        <w:jc w:val="both"/>
        <w:rPr>
          <w:rFonts w:ascii="Arial" w:hAnsi="Arial"/>
        </w:rPr>
      </w:pPr>
      <w:r>
        <w:rPr>
          <w:rFonts w:ascii="Arial" w:hAnsi="Arial" w:hint="cs"/>
          <w:rtl/>
        </w:rPr>
        <w:t xml:space="preserve">סעיף 3 לחוק הבוררות קובע כך: </w:t>
      </w:r>
    </w:p>
    <w:p w14:paraId="1AEE40C1" w14:textId="77777777" w:rsidR="00302AE0" w:rsidRPr="00302AE0" w:rsidRDefault="00302AE0" w:rsidP="00302AE0">
      <w:pPr>
        <w:pStyle w:val="ab"/>
        <w:spacing w:line="360" w:lineRule="auto"/>
        <w:ind w:left="1440"/>
        <w:jc w:val="both"/>
        <w:rPr>
          <w:rFonts w:ascii="Arial" w:hAnsi="Arial"/>
          <w:b/>
          <w:bCs/>
        </w:rPr>
      </w:pPr>
      <w:r w:rsidRPr="00302AE0">
        <w:rPr>
          <w:b/>
          <w:bCs/>
          <w:color w:val="000000"/>
          <w:rtl/>
        </w:rPr>
        <w:t>"אין תוקף להסכם בוררות בעניין שאינו יכול לשמש נושא להסכם בין הצדדים</w:t>
      </w:r>
      <w:r w:rsidRPr="00302AE0">
        <w:rPr>
          <w:b/>
          <w:bCs/>
          <w:color w:val="000000"/>
        </w:rPr>
        <w:t>."</w:t>
      </w:r>
    </w:p>
    <w:p w14:paraId="4136EB21" w14:textId="77777777" w:rsidR="00302AE0" w:rsidRDefault="00302AE0" w:rsidP="00302AE0">
      <w:pPr>
        <w:pStyle w:val="ab"/>
        <w:numPr>
          <w:ilvl w:val="0"/>
          <w:numId w:val="4"/>
        </w:numPr>
        <w:spacing w:line="360" w:lineRule="auto"/>
        <w:jc w:val="both"/>
        <w:rPr>
          <w:rFonts w:ascii="Arial" w:hAnsi="Arial"/>
        </w:rPr>
      </w:pPr>
      <w:r w:rsidRPr="00302AE0">
        <w:rPr>
          <w:rFonts w:ascii="Arial" w:hAnsi="Arial" w:hint="cs"/>
          <w:rtl/>
        </w:rPr>
        <w:t xml:space="preserve">בסוגיה זו הובהר כך </w:t>
      </w:r>
      <w:r w:rsidRPr="003601ED">
        <w:rPr>
          <w:rFonts w:ascii="Arial" w:hAnsi="Arial"/>
          <w:rtl/>
        </w:rPr>
        <w:t>ת"ע (משפחה ירושלים) 57027-08-21</w:t>
      </w:r>
      <w:r w:rsidRPr="00302AE0">
        <w:rPr>
          <w:rFonts w:ascii="Arial" w:hAnsi="Arial"/>
          <w:b/>
          <w:bCs/>
          <w:rtl/>
        </w:rPr>
        <w:t xml:space="preserve"> ש.י.ג נ' מ.ג.</w:t>
      </w:r>
      <w:r w:rsidRPr="00302AE0">
        <w:rPr>
          <w:rFonts w:ascii="Arial" w:hAnsi="Arial"/>
          <w:rtl/>
        </w:rPr>
        <w:t xml:space="preserve"> (נבו 22.2.2023)‏‏</w:t>
      </w:r>
      <w:r w:rsidRPr="00302AE0">
        <w:rPr>
          <w:rFonts w:ascii="Arial" w:hAnsi="Arial" w:hint="cs"/>
          <w:rtl/>
        </w:rPr>
        <w:t xml:space="preserve">: </w:t>
      </w:r>
    </w:p>
    <w:p w14:paraId="72E7219C" w14:textId="77777777" w:rsidR="00302AE0" w:rsidRPr="00302AE0" w:rsidRDefault="00302AE0" w:rsidP="00E76C49">
      <w:pPr>
        <w:pStyle w:val="ab"/>
        <w:spacing w:line="360" w:lineRule="auto"/>
        <w:ind w:left="1440"/>
        <w:jc w:val="both"/>
        <w:rPr>
          <w:rFonts w:ascii="Arial" w:hAnsi="Arial"/>
        </w:rPr>
      </w:pPr>
      <w:r w:rsidRPr="00302AE0">
        <w:rPr>
          <w:rFonts w:ascii="Arial" w:hAnsi="Arial"/>
          <w:rtl/>
        </w:rPr>
        <w:lastRenderedPageBreak/>
        <w:t xml:space="preserve"> </w:t>
      </w:r>
      <w:r w:rsidRPr="00302AE0">
        <w:rPr>
          <w:rFonts w:ascii="Arial" w:hAnsi="Arial"/>
          <w:b/>
          <w:bCs/>
          <w:rtl/>
        </w:rPr>
        <w:t xml:space="preserve">"מאחר ופסק בורר חל אך ורק כלפי הצדדים להסכם הבוררות או כלפי חליפיהם, הוא אינו יכול ליצור מעשה-בית-דין כלפי צדדים שלישיים, ולא ניתן להוציאו לפועל נגד צדדים כאלה. מסיבה זו, אין הצדדים להסכם בוררות יכולים למסור לבוררות סכסוך שהכרעה בו תהיה בעלת תוקף חפצי ( </w:t>
      </w:r>
      <w:r w:rsidRPr="00302AE0">
        <w:rPr>
          <w:rFonts w:ascii="Arial" w:hAnsi="Arial"/>
          <w:b/>
          <w:bCs/>
        </w:rPr>
        <w:t>in rem</w:t>
      </w:r>
      <w:r w:rsidRPr="00302AE0">
        <w:rPr>
          <w:rFonts w:ascii="Arial" w:hAnsi="Arial"/>
          <w:b/>
          <w:bCs/>
          <w:rtl/>
        </w:rPr>
        <w:t>), היינו כלפי צדדים שלישיים. ראו: רע"א 340/94 חברת חלקה 41 בגוש 6415 נ' מרקו בסן, פ"ד נ(1) 636 (1996)‏‏; רע"א 6233/02 אקסטל בע"מ נ' קאלמא ווי תעשיה, שיווק אלומיניום זכוכית ופרזול בע"מ, פ"ד נח(2) 634 (2004)‏, עמ' 668, פסקה ב' לפסק דינה של כב' השופטת פרוקצ'ה (דעת רוב); אוטולנגי, עמ' 159-160 ו- 171."</w:t>
      </w:r>
      <w:r w:rsidRPr="00302AE0">
        <w:rPr>
          <w:rFonts w:ascii="Arial" w:hAnsi="Arial" w:hint="cs"/>
          <w:b/>
          <w:bCs/>
          <w:rtl/>
        </w:rPr>
        <w:t>:</w:t>
      </w:r>
      <w:r w:rsidRPr="00302AE0">
        <w:rPr>
          <w:rFonts w:ascii="Arial" w:hAnsi="Arial" w:hint="cs"/>
          <w:rtl/>
        </w:rPr>
        <w:t xml:space="preserve"> </w:t>
      </w:r>
    </w:p>
    <w:p w14:paraId="28014899" w14:textId="77777777" w:rsidR="00E76C49" w:rsidRDefault="00E76C49" w:rsidP="002E5657">
      <w:pPr>
        <w:pStyle w:val="ab"/>
        <w:numPr>
          <w:ilvl w:val="0"/>
          <w:numId w:val="4"/>
        </w:numPr>
        <w:spacing w:line="360" w:lineRule="auto"/>
        <w:jc w:val="both"/>
        <w:rPr>
          <w:rFonts w:ascii="Arial" w:hAnsi="Arial"/>
        </w:rPr>
      </w:pPr>
      <w:r>
        <w:rPr>
          <w:rFonts w:ascii="Arial" w:hAnsi="Arial" w:hint="cs"/>
          <w:rtl/>
        </w:rPr>
        <w:t xml:space="preserve">בפסק הדין הנ"ל אף פורט כי כשם שלא ניתן להעביר לבוררות הכרעה בנוגע לתוקפו של צו קיום צוואה כך לא ניתן להעביר לבוררות שאלת תוקפו של צו ירושה. </w:t>
      </w:r>
    </w:p>
    <w:p w14:paraId="544AD0D9" w14:textId="77777777" w:rsidR="00E76C49" w:rsidRDefault="00E76C49" w:rsidP="002E5657">
      <w:pPr>
        <w:pStyle w:val="ab"/>
        <w:numPr>
          <w:ilvl w:val="0"/>
          <w:numId w:val="4"/>
        </w:numPr>
        <w:spacing w:line="360" w:lineRule="auto"/>
        <w:jc w:val="both"/>
        <w:rPr>
          <w:rFonts w:ascii="Arial" w:hAnsi="Arial"/>
        </w:rPr>
      </w:pPr>
      <w:r>
        <w:rPr>
          <w:rFonts w:ascii="Arial" w:hAnsi="Arial" w:hint="cs"/>
          <w:rtl/>
        </w:rPr>
        <w:t xml:space="preserve">אולם ממשיך בית המשפט ומפרט כך: </w:t>
      </w:r>
    </w:p>
    <w:p w14:paraId="553B08AC" w14:textId="77777777" w:rsidR="00E76C49" w:rsidRPr="00E76C49" w:rsidRDefault="00E76C49" w:rsidP="00E76C49">
      <w:pPr>
        <w:pStyle w:val="ab"/>
        <w:spacing w:line="360" w:lineRule="auto"/>
        <w:ind w:left="1440"/>
        <w:jc w:val="both"/>
        <w:rPr>
          <w:rFonts w:ascii="Arial" w:hAnsi="Arial"/>
          <w:b/>
          <w:bCs/>
        </w:rPr>
      </w:pPr>
      <w:r w:rsidRPr="003601ED">
        <w:rPr>
          <w:rFonts w:ascii="Arial" w:hAnsi="Arial"/>
          <w:rtl/>
        </w:rPr>
        <w:t>"</w:t>
      </w:r>
      <w:r w:rsidRPr="00E76C49">
        <w:rPr>
          <w:rFonts w:ascii="Arial" w:hAnsi="Arial"/>
          <w:b/>
          <w:bCs/>
          <w:rtl/>
        </w:rPr>
        <w:t>יחד עם זאת, יש להבחין לעניין זה בין יורשים על פי צו-ירושה שכבר ניתן, או נהנים על פי צוואה שכבר קוימה, לבין הטוענים לזכות בירושה או על פי צוואה, בטרם ניתנו צו-ירושה או צו לקיום צוואה. בעניין הראשון, כבר נקבעה המסגרת והכל יודעים מי הם יורשיו של אותו מנוח או מי הם הנהנים על פי צוואתו. בכגון דא רשאים היורשים או הנהנים להעביר כל מחלוקת שביניהם להכרעת בורר, ופסק דינו יחייב את אלה שביקשו את שירותיו</w:t>
      </w:r>
      <w:r w:rsidRPr="003601ED">
        <w:rPr>
          <w:rFonts w:ascii="Arial" w:hAnsi="Arial"/>
          <w:rtl/>
        </w:rPr>
        <w:t>"</w:t>
      </w:r>
    </w:p>
    <w:p w14:paraId="54C88147" w14:textId="77777777" w:rsidR="00E76C49" w:rsidRDefault="00E76C49" w:rsidP="002E5657">
      <w:pPr>
        <w:pStyle w:val="ab"/>
        <w:numPr>
          <w:ilvl w:val="0"/>
          <w:numId w:val="4"/>
        </w:numPr>
        <w:spacing w:line="360" w:lineRule="auto"/>
        <w:jc w:val="both"/>
        <w:rPr>
          <w:rFonts w:ascii="Arial" w:hAnsi="Arial"/>
        </w:rPr>
      </w:pPr>
      <w:r>
        <w:rPr>
          <w:rFonts w:ascii="Arial" w:hAnsi="Arial" w:hint="cs"/>
          <w:rtl/>
        </w:rPr>
        <w:t xml:space="preserve">דהיינו, אין כל ספק כי שאלות לגבי היקף העיזבון, או חובות לעיזבון של מי מהיורשים </w:t>
      </w:r>
      <w:r>
        <w:rPr>
          <w:rFonts w:ascii="Arial" w:hAnsi="Arial"/>
          <w:rtl/>
        </w:rPr>
        <w:t>–</w:t>
      </w:r>
      <w:r>
        <w:rPr>
          <w:rFonts w:ascii="Arial" w:hAnsi="Arial" w:hint="cs"/>
          <w:rtl/>
        </w:rPr>
        <w:t>כפי שעולה מנושא הבוררות שבמקרה שב</w:t>
      </w:r>
      <w:r w:rsidR="0004596A">
        <w:rPr>
          <w:rFonts w:ascii="Arial" w:hAnsi="Arial" w:hint="cs"/>
          <w:rtl/>
        </w:rPr>
        <w:t xml:space="preserve">פניי, ניתן גם ניתן להעביר להליך בוררות. </w:t>
      </w:r>
    </w:p>
    <w:p w14:paraId="2B1475FB" w14:textId="77777777" w:rsidR="00CB16F4" w:rsidRDefault="0004596A" w:rsidP="0004596A">
      <w:pPr>
        <w:pStyle w:val="ab"/>
        <w:numPr>
          <w:ilvl w:val="0"/>
          <w:numId w:val="7"/>
        </w:numPr>
        <w:spacing w:line="360" w:lineRule="auto"/>
        <w:jc w:val="both"/>
        <w:rPr>
          <w:rFonts w:ascii="Arial" w:hAnsi="Arial"/>
          <w:b/>
          <w:bCs/>
        </w:rPr>
      </w:pPr>
      <w:r w:rsidRPr="0004596A">
        <w:rPr>
          <w:rFonts w:ascii="Arial" w:hAnsi="Arial" w:hint="cs"/>
          <w:b/>
          <w:bCs/>
          <w:rtl/>
        </w:rPr>
        <w:t>מיהו בית המשפט המוסמך לדון בשאלות העולות מהבוררות</w:t>
      </w:r>
    </w:p>
    <w:p w14:paraId="4AFEFB52" w14:textId="77777777" w:rsidR="0004596A" w:rsidRPr="001825F5" w:rsidRDefault="001825F5" w:rsidP="001825F5">
      <w:pPr>
        <w:pStyle w:val="ab"/>
        <w:numPr>
          <w:ilvl w:val="0"/>
          <w:numId w:val="4"/>
        </w:numPr>
        <w:spacing w:line="360" w:lineRule="auto"/>
        <w:jc w:val="both"/>
        <w:rPr>
          <w:rFonts w:ascii="Arial" w:hAnsi="Arial"/>
          <w:b/>
          <w:bCs/>
          <w:rtl/>
        </w:rPr>
      </w:pPr>
      <w:r w:rsidRPr="001825F5">
        <w:rPr>
          <w:rFonts w:ascii="Arial" w:hAnsi="Arial" w:hint="cs"/>
          <w:rtl/>
        </w:rPr>
        <w:lastRenderedPageBreak/>
        <w:t>בסוגיה זו סוכמה ההלכה בסוגיה זו</w:t>
      </w:r>
      <w:r>
        <w:rPr>
          <w:rFonts w:ascii="Arial" w:hAnsi="Arial" w:hint="cs"/>
          <w:b/>
          <w:bCs/>
          <w:rtl/>
        </w:rPr>
        <w:t xml:space="preserve"> </w:t>
      </w:r>
      <w:r w:rsidRPr="003601ED">
        <w:rPr>
          <w:rFonts w:ascii="Arial" w:hAnsi="Arial" w:hint="cs"/>
          <w:rtl/>
        </w:rPr>
        <w:t>ב</w:t>
      </w:r>
      <w:r w:rsidRPr="003601ED">
        <w:rPr>
          <w:rFonts w:ascii="Arial" w:hAnsi="Arial"/>
          <w:rtl/>
        </w:rPr>
        <w:t>רע"א (מחוזי י-ם) 54145-02-23</w:t>
      </w:r>
      <w:r w:rsidRPr="001825F5">
        <w:rPr>
          <w:rFonts w:ascii="Arial" w:hAnsi="Arial"/>
          <w:b/>
          <w:bCs/>
          <w:rtl/>
        </w:rPr>
        <w:t xml:space="preserve"> איתמר שאול נ' יוחאי שאול </w:t>
      </w:r>
      <w:r w:rsidRPr="001825F5">
        <w:rPr>
          <w:rFonts w:ascii="Arial" w:hAnsi="Arial"/>
          <w:rtl/>
        </w:rPr>
        <w:t>(נבו 14.9.2023)</w:t>
      </w:r>
      <w:r>
        <w:rPr>
          <w:rFonts w:ascii="Arial" w:hAnsi="Arial" w:hint="cs"/>
          <w:b/>
          <w:bCs/>
          <w:rtl/>
        </w:rPr>
        <w:t>:</w:t>
      </w:r>
    </w:p>
    <w:p w14:paraId="32FC4A2A" w14:textId="77777777" w:rsidR="0004596A" w:rsidRPr="0004596A" w:rsidRDefault="00FA211E" w:rsidP="001825F5">
      <w:pPr>
        <w:spacing w:line="360" w:lineRule="auto"/>
        <w:ind w:left="720" w:firstLine="720"/>
        <w:jc w:val="both"/>
        <w:rPr>
          <w:rFonts w:ascii="Arial" w:hAnsi="Arial"/>
          <w:b/>
          <w:bCs/>
        </w:rPr>
      </w:pPr>
      <w:r w:rsidRPr="003601ED">
        <w:rPr>
          <w:rFonts w:ascii="Arial" w:hAnsi="Arial" w:hint="cs"/>
          <w:rtl/>
        </w:rPr>
        <w:t>"</w:t>
      </w:r>
      <w:r w:rsidR="0004596A" w:rsidRPr="0004596A">
        <w:rPr>
          <w:rFonts w:ascii="Arial" w:hAnsi="Arial"/>
          <w:b/>
          <w:bCs/>
          <w:rtl/>
        </w:rPr>
        <w:t>סוגיית הסמכות העניינית</w:t>
      </w:r>
    </w:p>
    <w:p w14:paraId="13B5EAC7" w14:textId="77777777" w:rsidR="0004596A" w:rsidRPr="001825F5" w:rsidRDefault="001825F5" w:rsidP="001825F5">
      <w:pPr>
        <w:pStyle w:val="ab"/>
        <w:spacing w:line="360" w:lineRule="auto"/>
        <w:jc w:val="both"/>
        <w:rPr>
          <w:rFonts w:ascii="Arial" w:hAnsi="Arial"/>
          <w:b/>
          <w:bCs/>
        </w:rPr>
      </w:pPr>
      <w:r w:rsidRPr="001825F5">
        <w:rPr>
          <w:rFonts w:ascii="Arial" w:hAnsi="Arial" w:hint="cs"/>
          <w:b/>
          <w:bCs/>
          <w:rtl/>
        </w:rPr>
        <w:tab/>
      </w:r>
      <w:r>
        <w:rPr>
          <w:rFonts w:ascii="Arial" w:hAnsi="Arial" w:hint="cs"/>
          <w:b/>
          <w:bCs/>
          <w:rtl/>
        </w:rPr>
        <w:t>44</w:t>
      </w:r>
      <w:r w:rsidR="0004596A" w:rsidRPr="001825F5">
        <w:rPr>
          <w:rFonts w:ascii="Arial" w:hAnsi="Arial"/>
          <w:b/>
          <w:bCs/>
          <w:rtl/>
        </w:rPr>
        <w:t xml:space="preserve">.   בעקבות תיקון מס' 4 לחוק הבוררות, שונתה הגדרת "בית המשפט" שבסעיף </w:t>
      </w:r>
      <w:r>
        <w:rPr>
          <w:rFonts w:ascii="Arial" w:hAnsi="Arial"/>
          <w:b/>
          <w:bCs/>
          <w:rtl/>
        </w:rPr>
        <w:tab/>
      </w:r>
      <w:r w:rsidR="0004596A" w:rsidRPr="001825F5">
        <w:rPr>
          <w:rFonts w:ascii="Arial" w:hAnsi="Arial"/>
          <w:b/>
          <w:bCs/>
          <w:rtl/>
        </w:rPr>
        <w:t>1 לחוק – כך: "בית המשפט המוסמך לדון, לפי כל דין, בעניין שהוסכם למסרו</w:t>
      </w:r>
      <w:r>
        <w:rPr>
          <w:rFonts w:ascii="Arial" w:hAnsi="Arial"/>
          <w:b/>
          <w:bCs/>
          <w:rtl/>
        </w:rPr>
        <w:tab/>
      </w:r>
      <w:r w:rsidR="0004596A" w:rsidRPr="001825F5">
        <w:rPr>
          <w:rFonts w:ascii="Arial" w:hAnsi="Arial"/>
          <w:b/>
          <w:bCs/>
          <w:rtl/>
        </w:rPr>
        <w:t xml:space="preserve"> לבוררות", ההדגשה היא "לפי כל דין".</w:t>
      </w:r>
    </w:p>
    <w:p w14:paraId="27AC39D5" w14:textId="77777777" w:rsidR="0004596A" w:rsidRPr="0004596A" w:rsidRDefault="001825F5" w:rsidP="001825F5">
      <w:pPr>
        <w:pStyle w:val="ab"/>
        <w:spacing w:line="360" w:lineRule="auto"/>
        <w:jc w:val="both"/>
        <w:rPr>
          <w:rFonts w:ascii="Arial" w:hAnsi="Arial"/>
          <w:b/>
          <w:bCs/>
        </w:rPr>
      </w:pPr>
      <w:r>
        <w:rPr>
          <w:rFonts w:ascii="Arial" w:hAnsi="Arial"/>
          <w:b/>
          <w:bCs/>
          <w:rtl/>
        </w:rPr>
        <w:tab/>
      </w:r>
      <w:r>
        <w:rPr>
          <w:rFonts w:ascii="Arial" w:hAnsi="Arial" w:hint="cs"/>
          <w:b/>
          <w:bCs/>
          <w:rtl/>
        </w:rPr>
        <w:t>45</w:t>
      </w:r>
      <w:r w:rsidR="0004596A" w:rsidRPr="0004596A">
        <w:rPr>
          <w:rFonts w:ascii="Arial" w:hAnsi="Arial"/>
          <w:b/>
          <w:bCs/>
          <w:rtl/>
        </w:rPr>
        <w:t xml:space="preserve">.   קביעת הסמכות העניינית נבחנת, בראש וראשונה, מהסעד המבוקש או </w:t>
      </w:r>
      <w:r>
        <w:rPr>
          <w:rFonts w:ascii="Arial" w:hAnsi="Arial"/>
          <w:b/>
          <w:bCs/>
          <w:rtl/>
        </w:rPr>
        <w:tab/>
      </w:r>
      <w:r>
        <w:rPr>
          <w:rFonts w:ascii="Arial" w:hAnsi="Arial"/>
          <w:b/>
          <w:bCs/>
          <w:rtl/>
        </w:rPr>
        <w:tab/>
      </w:r>
      <w:r w:rsidR="0004596A" w:rsidRPr="0004596A">
        <w:rPr>
          <w:rFonts w:ascii="Arial" w:hAnsi="Arial"/>
          <w:b/>
          <w:bCs/>
          <w:rtl/>
        </w:rPr>
        <w:t xml:space="preserve">ממהות הסכסוך; לפיכך, על מנת שנדע לסווג את הסמכות העניינית עלינו לבחון </w:t>
      </w:r>
      <w:r>
        <w:rPr>
          <w:rFonts w:ascii="Arial" w:hAnsi="Arial"/>
          <w:b/>
          <w:bCs/>
          <w:rtl/>
        </w:rPr>
        <w:tab/>
      </w:r>
      <w:r w:rsidR="0004596A" w:rsidRPr="0004596A">
        <w:rPr>
          <w:rFonts w:ascii="Arial" w:hAnsi="Arial"/>
          <w:b/>
          <w:bCs/>
          <w:rtl/>
        </w:rPr>
        <w:t xml:space="preserve">את שטר הבוררות – באלו נושאים ידונו הבוררים או את כתבי טענות הצדדים, </w:t>
      </w:r>
      <w:r>
        <w:rPr>
          <w:rFonts w:ascii="Arial" w:hAnsi="Arial"/>
          <w:b/>
          <w:bCs/>
          <w:rtl/>
        </w:rPr>
        <w:tab/>
      </w:r>
      <w:r w:rsidR="0004596A" w:rsidRPr="0004596A">
        <w:rPr>
          <w:rFonts w:ascii="Arial" w:hAnsi="Arial"/>
          <w:b/>
          <w:bCs/>
          <w:rtl/>
        </w:rPr>
        <w:t>בעיקר כתב הטענות הפותח (כתב התביעה), בהם ניתן להיווכח מהו הסעד המבוקש</w:t>
      </w:r>
      <w:r>
        <w:rPr>
          <w:rFonts w:ascii="Arial" w:hAnsi="Arial"/>
          <w:b/>
          <w:bCs/>
          <w:rtl/>
        </w:rPr>
        <w:tab/>
      </w:r>
      <w:r w:rsidR="0004596A" w:rsidRPr="0004596A">
        <w:rPr>
          <w:rFonts w:ascii="Arial" w:hAnsi="Arial"/>
          <w:b/>
          <w:bCs/>
          <w:rtl/>
        </w:rPr>
        <w:t xml:space="preserve"> או מהו מהות הסכסוך (ע"א 2846/03 אלדרמן נ' ארליך, פ"ד נד(3) 529 (2004); </w:t>
      </w:r>
      <w:r>
        <w:rPr>
          <w:rFonts w:ascii="Arial" w:hAnsi="Arial"/>
          <w:b/>
          <w:bCs/>
          <w:rtl/>
        </w:rPr>
        <w:tab/>
      </w:r>
      <w:r w:rsidR="0004596A" w:rsidRPr="0004596A">
        <w:rPr>
          <w:rFonts w:ascii="Arial" w:hAnsi="Arial"/>
          <w:b/>
          <w:bCs/>
          <w:rtl/>
        </w:rPr>
        <w:t>רע"א 7277/15 תגר נ' טל בר [פורסם בנבו] (16.11.2015)).</w:t>
      </w:r>
    </w:p>
    <w:p w14:paraId="15337A72" w14:textId="77777777" w:rsidR="0004596A" w:rsidRPr="0004596A" w:rsidRDefault="001825F5" w:rsidP="001825F5">
      <w:pPr>
        <w:pStyle w:val="ab"/>
        <w:spacing w:line="360" w:lineRule="auto"/>
        <w:jc w:val="both"/>
        <w:rPr>
          <w:rFonts w:ascii="Arial" w:hAnsi="Arial"/>
          <w:b/>
          <w:bCs/>
        </w:rPr>
      </w:pPr>
      <w:r>
        <w:rPr>
          <w:rFonts w:ascii="Arial" w:hAnsi="Arial"/>
          <w:b/>
          <w:bCs/>
          <w:rtl/>
        </w:rPr>
        <w:tab/>
      </w:r>
      <w:r>
        <w:rPr>
          <w:rFonts w:ascii="Arial" w:hAnsi="Arial" w:hint="cs"/>
          <w:b/>
          <w:bCs/>
          <w:rtl/>
        </w:rPr>
        <w:t>46</w:t>
      </w:r>
      <w:r w:rsidR="0004596A" w:rsidRPr="0004596A">
        <w:rPr>
          <w:rFonts w:ascii="Arial" w:hAnsi="Arial"/>
          <w:b/>
          <w:bCs/>
          <w:rtl/>
        </w:rPr>
        <w:t xml:space="preserve">.   לאור האמור, מעת שהנושא שעמד להכרעת הבוררים היה "חלוקת הירושה" </w:t>
      </w:r>
      <w:r>
        <w:rPr>
          <w:rFonts w:ascii="Arial" w:hAnsi="Arial"/>
          <w:b/>
          <w:bCs/>
          <w:rtl/>
        </w:rPr>
        <w:tab/>
      </w:r>
      <w:r w:rsidR="0004596A" w:rsidRPr="0004596A">
        <w:rPr>
          <w:rFonts w:ascii="Arial" w:hAnsi="Arial"/>
          <w:b/>
          <w:bCs/>
          <w:rtl/>
        </w:rPr>
        <w:t xml:space="preserve">– הרי שעניין לנו בנושא השייך לחוק הירושה, ובהתאם לחוק בתי המשפט לענייני </w:t>
      </w:r>
      <w:r>
        <w:rPr>
          <w:rFonts w:ascii="Arial" w:hAnsi="Arial"/>
          <w:b/>
          <w:bCs/>
          <w:rtl/>
        </w:rPr>
        <w:tab/>
      </w:r>
      <w:r w:rsidR="0004596A" w:rsidRPr="0004596A">
        <w:rPr>
          <w:rFonts w:ascii="Arial" w:hAnsi="Arial"/>
          <w:b/>
          <w:bCs/>
          <w:rtl/>
        </w:rPr>
        <w:t>משפחה וחוק הירושה, הסמכות נתונה לבית המשפט לענייני משפחה.</w:t>
      </w:r>
    </w:p>
    <w:p w14:paraId="5C6A2486" w14:textId="40350885" w:rsidR="0004596A" w:rsidRPr="003601ED" w:rsidRDefault="00FA211E" w:rsidP="00FA211E">
      <w:pPr>
        <w:pStyle w:val="ab"/>
        <w:spacing w:line="360" w:lineRule="auto"/>
        <w:jc w:val="both"/>
        <w:rPr>
          <w:rFonts w:ascii="Arial" w:hAnsi="Arial"/>
          <w:rtl/>
        </w:rPr>
      </w:pPr>
      <w:r>
        <w:rPr>
          <w:rFonts w:ascii="Arial" w:hAnsi="Arial"/>
          <w:b/>
          <w:bCs/>
          <w:rtl/>
        </w:rPr>
        <w:tab/>
      </w:r>
      <w:r>
        <w:rPr>
          <w:rFonts w:ascii="Arial" w:hAnsi="Arial" w:hint="cs"/>
          <w:b/>
          <w:bCs/>
          <w:rtl/>
        </w:rPr>
        <w:t xml:space="preserve">47. </w:t>
      </w:r>
      <w:r w:rsidR="0004596A" w:rsidRPr="00FA211E">
        <w:rPr>
          <w:rFonts w:ascii="Arial" w:hAnsi="Arial"/>
          <w:b/>
          <w:bCs/>
          <w:rtl/>
        </w:rPr>
        <w:t xml:space="preserve">  על כן, הסכסוך נובע מהירושה (העיזבון) והוא בין בני משפחה, כהגדרתה</w:t>
      </w:r>
      <w:r w:rsidRPr="00FA211E">
        <w:rPr>
          <w:rFonts w:ascii="Arial" w:hAnsi="Arial" w:hint="cs"/>
          <w:b/>
          <w:bCs/>
          <w:rtl/>
        </w:rPr>
        <w:t xml:space="preserve"> </w:t>
      </w:r>
      <w:r>
        <w:rPr>
          <w:rFonts w:ascii="Arial" w:hAnsi="Arial"/>
          <w:b/>
          <w:bCs/>
          <w:rtl/>
        </w:rPr>
        <w:tab/>
      </w:r>
      <w:r>
        <w:rPr>
          <w:rFonts w:ascii="Arial" w:hAnsi="Arial"/>
          <w:b/>
          <w:bCs/>
          <w:rtl/>
        </w:rPr>
        <w:tab/>
      </w:r>
      <w:r w:rsidR="0004596A" w:rsidRPr="00FA211E">
        <w:rPr>
          <w:rFonts w:ascii="Arial" w:hAnsi="Arial"/>
          <w:b/>
          <w:bCs/>
          <w:rtl/>
        </w:rPr>
        <w:t xml:space="preserve">המורחבת בחוק בית משפט לעניני משפחה. אם כך, אין מנוס אלא מלקבוע כי בית </w:t>
      </w:r>
      <w:r w:rsidRPr="00FA211E">
        <w:rPr>
          <w:rFonts w:ascii="Arial" w:hAnsi="Arial"/>
          <w:b/>
          <w:bCs/>
          <w:rtl/>
        </w:rPr>
        <w:tab/>
      </w:r>
      <w:r w:rsidR="0004596A" w:rsidRPr="00FA211E">
        <w:rPr>
          <w:rFonts w:ascii="Arial" w:hAnsi="Arial"/>
          <w:b/>
          <w:bCs/>
          <w:rtl/>
        </w:rPr>
        <w:t xml:space="preserve">המשפט המוסמך הוא – בית המשפט לענייני משפחה (השוו: רע"א 6558/99 חבס </w:t>
      </w:r>
      <w:r>
        <w:rPr>
          <w:rFonts w:ascii="Arial" w:hAnsi="Arial"/>
          <w:b/>
          <w:bCs/>
          <w:rtl/>
        </w:rPr>
        <w:tab/>
      </w:r>
      <w:r w:rsidR="0004596A" w:rsidRPr="00FA211E">
        <w:rPr>
          <w:rFonts w:ascii="Arial" w:hAnsi="Arial"/>
          <w:b/>
          <w:bCs/>
          <w:rtl/>
        </w:rPr>
        <w:t>נ' חבס, פ"ד נד(4) 337 (2000)).</w:t>
      </w:r>
      <w:r w:rsidR="003601ED">
        <w:rPr>
          <w:rFonts w:ascii="Arial" w:hAnsi="Arial" w:hint="cs"/>
          <w:rtl/>
        </w:rPr>
        <w:t>"</w:t>
      </w:r>
    </w:p>
    <w:p w14:paraId="6F080391" w14:textId="77777777" w:rsidR="004D423F" w:rsidRPr="004D423F" w:rsidRDefault="004D423F" w:rsidP="00FA211E">
      <w:pPr>
        <w:spacing w:line="360" w:lineRule="auto"/>
        <w:jc w:val="both"/>
        <w:rPr>
          <w:rFonts w:ascii="Arial" w:hAnsi="Arial"/>
          <w:b/>
          <w:bCs/>
          <w:u w:val="single"/>
        </w:rPr>
      </w:pPr>
      <w:r w:rsidRPr="004D423F">
        <w:rPr>
          <w:rFonts w:ascii="Arial" w:hAnsi="Arial" w:hint="cs"/>
          <w:b/>
          <w:bCs/>
          <w:u w:val="single"/>
          <w:rtl/>
        </w:rPr>
        <w:t>סיכום</w:t>
      </w:r>
    </w:p>
    <w:p w14:paraId="217DB82E" w14:textId="77777777" w:rsidR="00FA211E" w:rsidRDefault="00FA211E" w:rsidP="00FB4EE3">
      <w:pPr>
        <w:pStyle w:val="ab"/>
        <w:numPr>
          <w:ilvl w:val="0"/>
          <w:numId w:val="4"/>
        </w:numPr>
        <w:spacing w:line="360" w:lineRule="auto"/>
        <w:jc w:val="both"/>
        <w:rPr>
          <w:rFonts w:ascii="Arial" w:hAnsi="Arial"/>
          <w:b/>
          <w:bCs/>
        </w:rPr>
      </w:pPr>
      <w:r w:rsidRPr="00FB4EE3">
        <w:rPr>
          <w:rFonts w:ascii="Arial" w:hAnsi="Arial" w:hint="cs"/>
          <w:b/>
          <w:bCs/>
          <w:rtl/>
        </w:rPr>
        <w:t>מהמפורט לעיל עולה כי בהסכמה ניתן להעביר לבוררות מחלוקות בין יורשים בנוגע להיקף עיזבון או ח</w:t>
      </w:r>
      <w:r w:rsidR="00FB4EE3" w:rsidRPr="00FB4EE3">
        <w:rPr>
          <w:rFonts w:ascii="Arial" w:hAnsi="Arial" w:hint="cs"/>
          <w:b/>
          <w:bCs/>
          <w:rtl/>
        </w:rPr>
        <w:t>ובות לעיזבון, וכי בית המשפט המוסמך לדון בסוגיות העולות מהבוררות הוא בית משפט זה</w:t>
      </w:r>
      <w:r w:rsidR="00FB4EE3" w:rsidRPr="003601ED">
        <w:rPr>
          <w:rFonts w:ascii="Arial" w:hAnsi="Arial" w:hint="cs"/>
          <w:rtl/>
        </w:rPr>
        <w:t xml:space="preserve">. </w:t>
      </w:r>
    </w:p>
    <w:p w14:paraId="6F0F82C4" w14:textId="77777777" w:rsidR="00FB4EE3" w:rsidRPr="00FB4EE3" w:rsidRDefault="00FB4EE3" w:rsidP="00FB4EE3">
      <w:pPr>
        <w:spacing w:line="360" w:lineRule="auto"/>
        <w:jc w:val="both"/>
        <w:rPr>
          <w:rFonts w:ascii="Arial" w:hAnsi="Arial"/>
          <w:b/>
          <w:bCs/>
          <w:u w:val="single"/>
          <w:rtl/>
        </w:rPr>
      </w:pPr>
      <w:r w:rsidRPr="00FB4EE3">
        <w:rPr>
          <w:rFonts w:ascii="Arial" w:hAnsi="Arial" w:hint="cs"/>
          <w:b/>
          <w:bCs/>
          <w:u w:val="single"/>
          <w:rtl/>
        </w:rPr>
        <w:lastRenderedPageBreak/>
        <w:t>מן הכלל אל הפרט</w:t>
      </w:r>
    </w:p>
    <w:p w14:paraId="41189309" w14:textId="77777777" w:rsidR="00FB4EE3" w:rsidRPr="00FB4EE3" w:rsidRDefault="00FB4EE3" w:rsidP="00FB4EE3">
      <w:pPr>
        <w:pStyle w:val="ab"/>
        <w:numPr>
          <w:ilvl w:val="0"/>
          <w:numId w:val="4"/>
        </w:numPr>
        <w:spacing w:line="360" w:lineRule="auto"/>
        <w:jc w:val="both"/>
        <w:rPr>
          <w:rFonts w:ascii="Arial" w:hAnsi="Arial"/>
          <w:b/>
          <w:bCs/>
        </w:rPr>
      </w:pPr>
      <w:r w:rsidRPr="00FB4EE3">
        <w:rPr>
          <w:rFonts w:ascii="Arial" w:hAnsi="Arial" w:hint="cs"/>
          <w:b/>
          <w:bCs/>
          <w:rtl/>
        </w:rPr>
        <w:t>ראשית אקבע כי דין הבקשה לביטול מחיקת ההליך להידחות</w:t>
      </w:r>
      <w:r w:rsidRPr="003601ED">
        <w:rPr>
          <w:rFonts w:ascii="Arial" w:hAnsi="Arial" w:hint="cs"/>
          <w:rtl/>
        </w:rPr>
        <w:t>.</w:t>
      </w:r>
      <w:r w:rsidRPr="00FB4EE3">
        <w:rPr>
          <w:rFonts w:ascii="Arial" w:hAnsi="Arial" w:hint="cs"/>
          <w:b/>
          <w:bCs/>
          <w:rtl/>
        </w:rPr>
        <w:t xml:space="preserve"> </w:t>
      </w:r>
    </w:p>
    <w:p w14:paraId="66CDA798" w14:textId="77777777" w:rsidR="00FB4EE3" w:rsidRDefault="00FB4EE3" w:rsidP="00646DEE">
      <w:pPr>
        <w:pStyle w:val="ab"/>
        <w:numPr>
          <w:ilvl w:val="0"/>
          <w:numId w:val="4"/>
        </w:numPr>
        <w:spacing w:line="360" w:lineRule="auto"/>
        <w:jc w:val="both"/>
        <w:rPr>
          <w:rFonts w:ascii="Arial" w:hAnsi="Arial"/>
        </w:rPr>
      </w:pPr>
      <w:r w:rsidRPr="00FB4EE3">
        <w:rPr>
          <w:rFonts w:ascii="Arial" w:hAnsi="Arial" w:hint="cs"/>
          <w:rtl/>
        </w:rPr>
        <w:t>הבקשה שבפניי הינה לביטול מחיקת הליך שננקט על ידי המבקש</w:t>
      </w:r>
      <w:r>
        <w:rPr>
          <w:rFonts w:ascii="Arial" w:hAnsi="Arial" w:hint="cs"/>
          <w:rtl/>
        </w:rPr>
        <w:t xml:space="preserve"> לקבלת מידע על חשבונות הוריהם של הצדדים, כאשר אין ספק כי מטרת הבקשה </w:t>
      </w:r>
      <w:r w:rsidR="00646DEE">
        <w:rPr>
          <w:rFonts w:ascii="Arial" w:hAnsi="Arial" w:hint="cs"/>
          <w:rtl/>
        </w:rPr>
        <w:t xml:space="preserve">לביטול המחיקה </w:t>
      </w:r>
      <w:r>
        <w:rPr>
          <w:rFonts w:ascii="Arial" w:hAnsi="Arial" w:hint="cs"/>
          <w:rtl/>
        </w:rPr>
        <w:t>הינה עיכוב הליכי הבוררות אליהם פנו הצדדים במשותף כמפורט בתגובת המשיבה</w:t>
      </w:r>
      <w:r w:rsidR="00646DEE">
        <w:rPr>
          <w:rFonts w:ascii="Arial" w:hAnsi="Arial" w:hint="cs"/>
          <w:rtl/>
        </w:rPr>
        <w:t xml:space="preserve"> </w:t>
      </w:r>
      <w:r w:rsidR="00646DEE">
        <w:rPr>
          <w:rFonts w:ascii="Arial" w:hAnsi="Arial"/>
          <w:rtl/>
        </w:rPr>
        <w:t>–</w:t>
      </w:r>
      <w:r w:rsidR="00646DEE">
        <w:rPr>
          <w:rFonts w:ascii="Arial" w:hAnsi="Arial" w:hint="cs"/>
          <w:rtl/>
        </w:rPr>
        <w:t xml:space="preserve"> מטרה שהינה זרה להליך שננקט בפני בית משפט זה.</w:t>
      </w:r>
    </w:p>
    <w:p w14:paraId="7AA35E90" w14:textId="77777777" w:rsidR="00FB4EE3" w:rsidRDefault="00646DEE" w:rsidP="00FB4EE3">
      <w:pPr>
        <w:pStyle w:val="ab"/>
        <w:numPr>
          <w:ilvl w:val="0"/>
          <w:numId w:val="4"/>
        </w:numPr>
        <w:spacing w:line="360" w:lineRule="auto"/>
        <w:jc w:val="both"/>
        <w:rPr>
          <w:rFonts w:ascii="Arial" w:hAnsi="Arial"/>
        </w:rPr>
      </w:pPr>
      <w:r>
        <w:rPr>
          <w:rFonts w:ascii="Arial" w:hAnsi="Arial" w:hint="cs"/>
          <w:rtl/>
        </w:rPr>
        <w:t>ל</w:t>
      </w:r>
      <w:r w:rsidR="00FB4EE3">
        <w:rPr>
          <w:rFonts w:ascii="Arial" w:hAnsi="Arial" w:hint="cs"/>
          <w:rtl/>
        </w:rPr>
        <w:t>סעדים שהתבקשו בהליך שנמחק אין הלימה כלל עם הנושאים שהועברו לבוררות על ידי הצדדים כך שגם לו היה מקום לביטול מחיקת ההליך, לא היה בכך כדי להשפיע כלל על הלי</w:t>
      </w:r>
      <w:r w:rsidR="00DC7EB4">
        <w:rPr>
          <w:rFonts w:ascii="Arial" w:hAnsi="Arial" w:hint="cs"/>
          <w:rtl/>
        </w:rPr>
        <w:t xml:space="preserve">ך הבוררות. </w:t>
      </w:r>
    </w:p>
    <w:p w14:paraId="686FAD2D" w14:textId="77777777" w:rsidR="00DC7EB4" w:rsidRPr="00DC7EB4" w:rsidRDefault="00DC7EB4" w:rsidP="00DC7EB4">
      <w:pPr>
        <w:spacing w:line="360" w:lineRule="auto"/>
        <w:jc w:val="both"/>
        <w:rPr>
          <w:rFonts w:ascii="Arial" w:hAnsi="Arial"/>
          <w:b/>
          <w:bCs/>
        </w:rPr>
      </w:pPr>
      <w:r w:rsidRPr="00DC7EB4">
        <w:rPr>
          <w:rFonts w:ascii="Arial" w:hAnsi="Arial" w:hint="cs"/>
          <w:b/>
          <w:bCs/>
          <w:rtl/>
        </w:rPr>
        <w:t>התנהלות המבקש בהליך הבוררות</w:t>
      </w:r>
    </w:p>
    <w:p w14:paraId="1F5382B9" w14:textId="77777777" w:rsidR="00DC7EB4" w:rsidRDefault="00DC7EB4" w:rsidP="00FB4EE3">
      <w:pPr>
        <w:pStyle w:val="ab"/>
        <w:numPr>
          <w:ilvl w:val="0"/>
          <w:numId w:val="4"/>
        </w:numPr>
        <w:spacing w:line="360" w:lineRule="auto"/>
        <w:jc w:val="both"/>
        <w:rPr>
          <w:rFonts w:ascii="Arial" w:hAnsi="Arial"/>
        </w:rPr>
      </w:pPr>
      <w:r>
        <w:rPr>
          <w:rFonts w:ascii="Arial" w:hAnsi="Arial" w:hint="cs"/>
          <w:rtl/>
        </w:rPr>
        <w:t xml:space="preserve">ביום 6.3.24 פנו הצדדים להליך בוררות בנוגע למחלוקות הכספיות בין הצדדים. ביום 9.4.24 התקיים דיון אצל הבוררת, ולאחריו נקבע מתווה לחלוקת העיזבון ולייחוד </w:t>
      </w:r>
      <w:r w:rsidR="006D7D77">
        <w:rPr>
          <w:rFonts w:ascii="Arial" w:hAnsi="Arial" w:hint="cs"/>
          <w:rtl/>
        </w:rPr>
        <w:t xml:space="preserve">דירות העיזבון. </w:t>
      </w:r>
    </w:p>
    <w:p w14:paraId="61CAB1D8" w14:textId="77777777" w:rsidR="006D7D77" w:rsidRDefault="006D7D77" w:rsidP="00FB4EE3">
      <w:pPr>
        <w:pStyle w:val="ab"/>
        <w:numPr>
          <w:ilvl w:val="0"/>
          <w:numId w:val="4"/>
        </w:numPr>
        <w:spacing w:line="360" w:lineRule="auto"/>
        <w:jc w:val="both"/>
        <w:rPr>
          <w:rFonts w:ascii="Arial" w:hAnsi="Arial"/>
        </w:rPr>
      </w:pPr>
      <w:r>
        <w:rPr>
          <w:rFonts w:ascii="Arial" w:hAnsi="Arial" w:hint="cs"/>
          <w:rtl/>
        </w:rPr>
        <w:t xml:space="preserve">ביום 11.4.24 ניתנה החלטה של הבוררת למינוי שמאי בהתאם למתווה, והצדדים נדרשו להעביר את המסמכים והנתונים לידי השמאי שמונה. </w:t>
      </w:r>
    </w:p>
    <w:p w14:paraId="3815A5FA" w14:textId="77777777" w:rsidR="006D7D77" w:rsidRDefault="006D7D77" w:rsidP="006D7D77">
      <w:pPr>
        <w:pStyle w:val="ab"/>
        <w:numPr>
          <w:ilvl w:val="0"/>
          <w:numId w:val="4"/>
        </w:numPr>
        <w:spacing w:line="360" w:lineRule="auto"/>
        <w:jc w:val="both"/>
        <w:rPr>
          <w:rFonts w:ascii="Arial" w:hAnsi="Arial"/>
        </w:rPr>
      </w:pPr>
      <w:r>
        <w:rPr>
          <w:rFonts w:ascii="Arial" w:hAnsi="Arial" w:hint="cs"/>
          <w:rtl/>
        </w:rPr>
        <w:t xml:space="preserve">ביום 2.5.24 הוגש ייפוי כוח לבית המשפט מטעם ב"כ הנוכחית של המבקש בד בבד עם הבקשה למחיקת ההליך, ודהיינו </w:t>
      </w:r>
      <w:r>
        <w:rPr>
          <w:rFonts w:ascii="Arial" w:hAnsi="Arial"/>
          <w:rtl/>
        </w:rPr>
        <w:t>–</w:t>
      </w:r>
      <w:r>
        <w:rPr>
          <w:rFonts w:ascii="Arial" w:hAnsi="Arial" w:hint="cs"/>
          <w:rtl/>
        </w:rPr>
        <w:t xml:space="preserve"> בשלב זה </w:t>
      </w:r>
      <w:r>
        <w:rPr>
          <w:rFonts w:ascii="Arial" w:hAnsi="Arial"/>
          <w:rtl/>
        </w:rPr>
        <w:t>–</w:t>
      </w:r>
      <w:r>
        <w:rPr>
          <w:rFonts w:ascii="Arial" w:hAnsi="Arial" w:hint="cs"/>
          <w:rtl/>
        </w:rPr>
        <w:t xml:space="preserve"> </w:t>
      </w:r>
      <w:r w:rsidRPr="004D423F">
        <w:rPr>
          <w:rFonts w:ascii="Arial" w:hAnsi="Arial" w:hint="cs"/>
          <w:rtl/>
        </w:rPr>
        <w:t>פעלה ב"כ של המבקש על פי העקרונות שסוכמו עם פניית הצדדים לבוררות! ואמנם התוב</w:t>
      </w:r>
      <w:r>
        <w:rPr>
          <w:rFonts w:ascii="Arial" w:hAnsi="Arial" w:hint="cs"/>
          <w:rtl/>
        </w:rPr>
        <w:t>ענה נמחקה ביום 7.5.24.</w:t>
      </w:r>
    </w:p>
    <w:p w14:paraId="318D40FC" w14:textId="77777777" w:rsidR="006D7D77" w:rsidRDefault="006D7D77" w:rsidP="00FB4EE3">
      <w:pPr>
        <w:pStyle w:val="ab"/>
        <w:numPr>
          <w:ilvl w:val="0"/>
          <w:numId w:val="4"/>
        </w:numPr>
        <w:spacing w:line="360" w:lineRule="auto"/>
        <w:jc w:val="both"/>
        <w:rPr>
          <w:rFonts w:ascii="Arial" w:hAnsi="Arial"/>
        </w:rPr>
      </w:pPr>
      <w:r>
        <w:rPr>
          <w:rFonts w:ascii="Arial" w:hAnsi="Arial" w:hint="cs"/>
          <w:rtl/>
        </w:rPr>
        <w:t xml:space="preserve">ביום 12.5.24 התקבלה החלטת הבוררת בדבר ארכה של 10 ימים להגשת המסמכים על ידי המבקש לידי השמאי. </w:t>
      </w:r>
    </w:p>
    <w:p w14:paraId="1302E33C" w14:textId="77777777" w:rsidR="006D7D77" w:rsidRPr="006D7D77" w:rsidRDefault="006D7D77" w:rsidP="006D7D77">
      <w:pPr>
        <w:spacing w:line="360" w:lineRule="auto"/>
        <w:ind w:left="360"/>
        <w:jc w:val="both"/>
        <w:rPr>
          <w:rFonts w:ascii="Arial" w:hAnsi="Arial"/>
          <w:b/>
          <w:bCs/>
        </w:rPr>
      </w:pPr>
      <w:r w:rsidRPr="006D7D77">
        <w:rPr>
          <w:rFonts w:ascii="Arial" w:hAnsi="Arial" w:hint="cs"/>
          <w:b/>
          <w:bCs/>
          <w:rtl/>
        </w:rPr>
        <w:lastRenderedPageBreak/>
        <w:t>הבקשה לביטול המחיקה</w:t>
      </w:r>
    </w:p>
    <w:p w14:paraId="70D4268C" w14:textId="77777777" w:rsidR="006D7D77" w:rsidRDefault="006D7D77" w:rsidP="00FB4EE3">
      <w:pPr>
        <w:pStyle w:val="ab"/>
        <w:numPr>
          <w:ilvl w:val="0"/>
          <w:numId w:val="4"/>
        </w:numPr>
        <w:spacing w:line="360" w:lineRule="auto"/>
        <w:jc w:val="both"/>
        <w:rPr>
          <w:rFonts w:ascii="Arial" w:hAnsi="Arial"/>
        </w:rPr>
      </w:pPr>
      <w:r>
        <w:rPr>
          <w:rFonts w:ascii="Arial" w:hAnsi="Arial" w:hint="cs"/>
          <w:rtl/>
        </w:rPr>
        <w:t xml:space="preserve">בבקשה שהוגשה על ידי המבקש ביום 16.7.24 נטענו </w:t>
      </w:r>
      <w:r w:rsidR="003B582B">
        <w:rPr>
          <w:rFonts w:ascii="Arial" w:hAnsi="Arial" w:hint="cs"/>
          <w:rtl/>
        </w:rPr>
        <w:t xml:space="preserve">טענות כנגד הבוררת והמוסד לבוררות עסקית </w:t>
      </w:r>
      <w:r w:rsidR="003B582B">
        <w:rPr>
          <w:rFonts w:ascii="Arial" w:hAnsi="Arial"/>
          <w:rtl/>
        </w:rPr>
        <w:t>–</w:t>
      </w:r>
      <w:r w:rsidR="003B582B">
        <w:rPr>
          <w:rFonts w:ascii="Arial" w:hAnsi="Arial" w:hint="cs"/>
          <w:rtl/>
        </w:rPr>
        <w:t xml:space="preserve"> חמישה חודשים לאחר הפנייה לבוררות וחודשיים וחצי לאחר שב"כ המבקש קיבלה על עצמה את הייצוג.</w:t>
      </w:r>
    </w:p>
    <w:p w14:paraId="15D7BA14" w14:textId="77777777" w:rsidR="003B582B" w:rsidRDefault="003B582B" w:rsidP="00FB4EE3">
      <w:pPr>
        <w:pStyle w:val="ab"/>
        <w:numPr>
          <w:ilvl w:val="0"/>
          <w:numId w:val="4"/>
        </w:numPr>
        <w:spacing w:line="360" w:lineRule="auto"/>
        <w:jc w:val="both"/>
        <w:rPr>
          <w:rFonts w:ascii="Arial" w:hAnsi="Arial"/>
        </w:rPr>
      </w:pPr>
      <w:r>
        <w:rPr>
          <w:rFonts w:ascii="Arial" w:hAnsi="Arial" w:hint="cs"/>
          <w:rtl/>
        </w:rPr>
        <w:t>אמנם טענה ב"כ המבקש כי פנתה כבר ביום 13.5.24 למוסד לבוררות בנוגע להפסקת ההליך אך לא פירטה כי בפנייה משותפת מיום 16.5.24 בפועל חזר בו המבקש מטענותיו לעניין המשך הבוררות כאשר הודיע בהסכמה:</w:t>
      </w:r>
    </w:p>
    <w:p w14:paraId="100A566D" w14:textId="79F9317A" w:rsidR="003B582B" w:rsidRDefault="00092EF9" w:rsidP="00092EF9">
      <w:pPr>
        <w:pStyle w:val="ab"/>
        <w:spacing w:line="360" w:lineRule="auto"/>
        <w:ind w:left="1800"/>
        <w:jc w:val="both"/>
        <w:rPr>
          <w:rFonts w:ascii="Arial" w:hAnsi="Arial"/>
          <w:b/>
          <w:bCs/>
          <w:sz w:val="22"/>
          <w:szCs w:val="22"/>
          <w:rtl/>
        </w:rPr>
      </w:pPr>
      <w:r>
        <w:rPr>
          <w:rFonts w:ascii="Arial" w:hAnsi="Arial" w:hint="cs"/>
          <w:b/>
          <w:bCs/>
          <w:sz w:val="22"/>
          <w:szCs w:val="22"/>
          <w:rtl/>
        </w:rPr>
        <w:t xml:space="preserve">2,  ככל שלא יעלה הדבר תומצא הודעה מתאימה לכבוד הבוררת לא יאוחר מתוך 60 יום מהיום. </w:t>
      </w:r>
    </w:p>
    <w:p w14:paraId="6647AFE8" w14:textId="70FAE989" w:rsidR="00092EF9" w:rsidRPr="00092EF9" w:rsidRDefault="00092EF9" w:rsidP="00092EF9">
      <w:pPr>
        <w:pStyle w:val="ab"/>
        <w:spacing w:line="360" w:lineRule="auto"/>
        <w:ind w:left="1800"/>
        <w:jc w:val="both"/>
        <w:rPr>
          <w:rFonts w:ascii="Arial" w:hAnsi="Arial"/>
          <w:b/>
          <w:bCs/>
          <w:sz w:val="22"/>
          <w:szCs w:val="22"/>
        </w:rPr>
      </w:pPr>
      <w:r>
        <w:rPr>
          <w:rFonts w:ascii="Arial" w:hAnsi="Arial" w:hint="cs"/>
          <w:b/>
          <w:bCs/>
          <w:sz w:val="22"/>
          <w:szCs w:val="22"/>
          <w:rtl/>
        </w:rPr>
        <w:t xml:space="preserve">3,  מיתווה השמאות יימשך. </w:t>
      </w:r>
    </w:p>
    <w:p w14:paraId="77A2602C" w14:textId="77777777" w:rsidR="00CB16F4" w:rsidRDefault="0091342F" w:rsidP="003B582B">
      <w:pPr>
        <w:pStyle w:val="ab"/>
        <w:numPr>
          <w:ilvl w:val="0"/>
          <w:numId w:val="4"/>
        </w:numPr>
        <w:spacing w:line="360" w:lineRule="auto"/>
        <w:jc w:val="both"/>
        <w:rPr>
          <w:rFonts w:ascii="Arial" w:hAnsi="Arial"/>
        </w:rPr>
      </w:pPr>
      <w:r>
        <w:rPr>
          <w:rFonts w:ascii="Arial" w:hAnsi="Arial" w:hint="cs"/>
          <w:rtl/>
        </w:rPr>
        <w:t xml:space="preserve">רק חודשיים לאחר מכן </w:t>
      </w:r>
      <w:r w:rsidR="00D47B8B">
        <w:rPr>
          <w:rFonts w:ascii="Arial" w:hAnsi="Arial" w:hint="cs"/>
          <w:rtl/>
        </w:rPr>
        <w:t xml:space="preserve">פנה המבקש בבקשה להעביר את הבוררת מתפקידה. </w:t>
      </w:r>
    </w:p>
    <w:p w14:paraId="2B506A40" w14:textId="77777777" w:rsidR="00D47B8B" w:rsidRDefault="00D47B8B" w:rsidP="00D47B8B">
      <w:pPr>
        <w:spacing w:line="360" w:lineRule="auto"/>
        <w:jc w:val="both"/>
        <w:rPr>
          <w:rFonts w:ascii="Arial" w:hAnsi="Arial"/>
          <w:b/>
          <w:bCs/>
          <w:u w:val="single"/>
          <w:rtl/>
        </w:rPr>
      </w:pPr>
      <w:r w:rsidRPr="00D47B8B">
        <w:rPr>
          <w:rFonts w:ascii="Arial" w:hAnsi="Arial" w:hint="cs"/>
          <w:b/>
          <w:bCs/>
          <w:u w:val="single"/>
          <w:rtl/>
        </w:rPr>
        <w:t>הכרעה</w:t>
      </w:r>
    </w:p>
    <w:p w14:paraId="4708F33D" w14:textId="77777777" w:rsidR="00D47B8B" w:rsidRDefault="00D47B8B" w:rsidP="00251CB1">
      <w:pPr>
        <w:pStyle w:val="ab"/>
        <w:numPr>
          <w:ilvl w:val="0"/>
          <w:numId w:val="4"/>
        </w:numPr>
        <w:spacing w:line="360" w:lineRule="auto"/>
        <w:jc w:val="both"/>
        <w:rPr>
          <w:rFonts w:ascii="Arial" w:hAnsi="Arial"/>
        </w:rPr>
      </w:pPr>
      <w:r w:rsidRPr="00D47B8B">
        <w:rPr>
          <w:rFonts w:ascii="Arial" w:hAnsi="Arial" w:hint="cs"/>
          <w:rtl/>
        </w:rPr>
        <w:t xml:space="preserve">כפי שצוין לעיל, אין קשר בין הבקשה לביטול המחיקה לבין בקשה </w:t>
      </w:r>
      <w:r w:rsidR="00251CB1">
        <w:rPr>
          <w:rFonts w:ascii="Arial" w:hAnsi="Arial" w:hint="cs"/>
          <w:rtl/>
        </w:rPr>
        <w:t xml:space="preserve">שהוגשה במשתמע להעביר את הבוררת מתפקידה והרי חלק מהבקשה הינה בקשה למתן צו לעיכוב הבוררות. </w:t>
      </w:r>
    </w:p>
    <w:p w14:paraId="3D684AC5" w14:textId="77777777" w:rsidR="00D47B8B" w:rsidRDefault="00D47B8B" w:rsidP="0091342F">
      <w:pPr>
        <w:pStyle w:val="ab"/>
        <w:numPr>
          <w:ilvl w:val="0"/>
          <w:numId w:val="4"/>
        </w:numPr>
        <w:spacing w:line="360" w:lineRule="auto"/>
        <w:jc w:val="both"/>
        <w:rPr>
          <w:rFonts w:ascii="Arial" w:hAnsi="Arial"/>
        </w:rPr>
      </w:pPr>
      <w:r w:rsidRPr="00D47B8B">
        <w:rPr>
          <w:rFonts w:ascii="Arial" w:hAnsi="Arial" w:hint="cs"/>
          <w:rtl/>
        </w:rPr>
        <w:t xml:space="preserve">אין קשר בין סעדי התביעה לבין העניינים שהועברו לבוררות, </w:t>
      </w:r>
      <w:r>
        <w:rPr>
          <w:rFonts w:ascii="Arial" w:hAnsi="Arial" w:hint="cs"/>
          <w:rtl/>
        </w:rPr>
        <w:t xml:space="preserve">המבקש הסכים לבוררות, שיתף פעולה עם הבוררת גם לאחר חילופי ייצוג </w:t>
      </w:r>
      <w:r>
        <w:rPr>
          <w:rFonts w:ascii="Arial" w:hAnsi="Arial"/>
          <w:rtl/>
        </w:rPr>
        <w:t>–</w:t>
      </w:r>
      <w:r>
        <w:rPr>
          <w:rFonts w:ascii="Arial" w:hAnsi="Arial" w:hint="cs"/>
          <w:rtl/>
        </w:rPr>
        <w:t xml:space="preserve"> וממילא גם אין </w:t>
      </w:r>
      <w:r w:rsidR="0091342F">
        <w:rPr>
          <w:rFonts w:ascii="Arial" w:hAnsi="Arial" w:hint="cs"/>
          <w:rtl/>
        </w:rPr>
        <w:t xml:space="preserve">השפעה לחילופי ייצוג על </w:t>
      </w:r>
      <w:r>
        <w:rPr>
          <w:rFonts w:ascii="Arial" w:hAnsi="Arial" w:hint="cs"/>
          <w:rtl/>
        </w:rPr>
        <w:t xml:space="preserve">הסכמות שניתנו </w:t>
      </w:r>
      <w:r w:rsidR="0091342F">
        <w:rPr>
          <w:rFonts w:ascii="Arial" w:hAnsi="Arial" w:hint="cs"/>
          <w:rtl/>
        </w:rPr>
        <w:t xml:space="preserve">קודם לכן. </w:t>
      </w:r>
    </w:p>
    <w:p w14:paraId="650938B6" w14:textId="77777777" w:rsidR="0091342F" w:rsidRDefault="0091342F" w:rsidP="0091342F">
      <w:pPr>
        <w:pStyle w:val="ab"/>
        <w:numPr>
          <w:ilvl w:val="0"/>
          <w:numId w:val="4"/>
        </w:numPr>
        <w:spacing w:line="360" w:lineRule="auto"/>
        <w:jc w:val="both"/>
        <w:rPr>
          <w:rFonts w:ascii="Arial" w:hAnsi="Arial"/>
        </w:rPr>
      </w:pPr>
      <w:r>
        <w:rPr>
          <w:rFonts w:ascii="Arial" w:hAnsi="Arial" w:hint="cs"/>
          <w:rtl/>
        </w:rPr>
        <w:t xml:space="preserve">על מנת לעתור להעברת בורר מתפקידו יש לציין עילה העולה מסעיף 11 לחוק הבוררות הקובע: </w:t>
      </w:r>
    </w:p>
    <w:p w14:paraId="2DD19375" w14:textId="0C853FF1" w:rsidR="0091342F" w:rsidRPr="0091342F" w:rsidRDefault="0091342F" w:rsidP="003601ED">
      <w:pPr>
        <w:pStyle w:val="ab"/>
        <w:spacing w:line="360" w:lineRule="auto"/>
        <w:ind w:left="1440"/>
        <w:rPr>
          <w:rFonts w:ascii="Arial" w:hAnsi="Arial"/>
          <w:b/>
          <w:bCs/>
          <w:rtl/>
        </w:rPr>
      </w:pPr>
      <w:r w:rsidRPr="003601ED">
        <w:rPr>
          <w:rFonts w:ascii="Arial" w:hAnsi="Arial" w:hint="cs"/>
          <w:rtl/>
        </w:rPr>
        <w:t>"</w:t>
      </w:r>
      <w:r w:rsidR="003601ED">
        <w:rPr>
          <w:rFonts w:ascii="Arial" w:hAnsi="Arial" w:hint="cs"/>
          <w:rtl/>
        </w:rPr>
        <w:t xml:space="preserve"> (</w:t>
      </w:r>
      <w:r w:rsidRPr="0091342F">
        <w:rPr>
          <w:rFonts w:ascii="Arial" w:hAnsi="Arial"/>
          <w:b/>
          <w:bCs/>
          <w:rtl/>
        </w:rPr>
        <w:t>1)</w:t>
      </w:r>
      <w:r w:rsidR="003601ED">
        <w:rPr>
          <w:rFonts w:ascii="Arial" w:hAnsi="Arial" w:hint="cs"/>
          <w:b/>
          <w:bCs/>
          <w:rtl/>
        </w:rPr>
        <w:t xml:space="preserve"> </w:t>
      </w:r>
      <w:r w:rsidRPr="0091342F">
        <w:rPr>
          <w:rFonts w:ascii="Arial" w:hAnsi="Arial"/>
          <w:b/>
          <w:bCs/>
          <w:rtl/>
        </w:rPr>
        <w:t>נתגלה שהבורר אינו ראוי לאמון הצדדים;</w:t>
      </w:r>
    </w:p>
    <w:p w14:paraId="5C12B436" w14:textId="2C0E647E" w:rsidR="0091342F" w:rsidRPr="0091342F" w:rsidRDefault="0091342F" w:rsidP="003601ED">
      <w:pPr>
        <w:pStyle w:val="ab"/>
        <w:spacing w:line="360" w:lineRule="auto"/>
        <w:ind w:left="1440" w:firstLine="119"/>
        <w:rPr>
          <w:rFonts w:ascii="Arial" w:hAnsi="Arial"/>
          <w:b/>
          <w:bCs/>
          <w:rtl/>
        </w:rPr>
      </w:pPr>
      <w:r w:rsidRPr="0091342F">
        <w:rPr>
          <w:rFonts w:ascii="Arial" w:hAnsi="Arial"/>
          <w:b/>
          <w:bCs/>
          <w:rtl/>
        </w:rPr>
        <w:t>(2)</w:t>
      </w:r>
      <w:r w:rsidR="003601ED">
        <w:rPr>
          <w:rFonts w:ascii="Arial" w:hAnsi="Arial" w:hint="cs"/>
          <w:b/>
          <w:bCs/>
          <w:rtl/>
        </w:rPr>
        <w:t xml:space="preserve"> </w:t>
      </w:r>
      <w:r w:rsidRPr="0091342F">
        <w:rPr>
          <w:rFonts w:ascii="Arial" w:hAnsi="Arial"/>
          <w:b/>
          <w:bCs/>
          <w:rtl/>
        </w:rPr>
        <w:t>התנהגותו של הבורר במהלך הבוררות גורמת לעינוי דין;</w:t>
      </w:r>
    </w:p>
    <w:p w14:paraId="54986B1C" w14:textId="70D1C5FB" w:rsidR="0091342F" w:rsidRPr="0091342F" w:rsidRDefault="0091342F" w:rsidP="003601ED">
      <w:pPr>
        <w:pStyle w:val="ab"/>
        <w:spacing w:line="360" w:lineRule="auto"/>
        <w:ind w:left="1440" w:firstLine="119"/>
        <w:jc w:val="both"/>
        <w:rPr>
          <w:rFonts w:ascii="Arial" w:hAnsi="Arial"/>
          <w:b/>
          <w:bCs/>
        </w:rPr>
      </w:pPr>
      <w:r w:rsidRPr="0091342F">
        <w:rPr>
          <w:rFonts w:ascii="Arial" w:hAnsi="Arial"/>
          <w:b/>
          <w:bCs/>
          <w:rtl/>
        </w:rPr>
        <w:lastRenderedPageBreak/>
        <w:t>(3)</w:t>
      </w:r>
      <w:r w:rsidR="003601ED">
        <w:rPr>
          <w:rFonts w:ascii="Arial" w:hAnsi="Arial" w:hint="cs"/>
          <w:b/>
          <w:bCs/>
          <w:rtl/>
        </w:rPr>
        <w:t xml:space="preserve"> </w:t>
      </w:r>
      <w:r w:rsidRPr="0091342F">
        <w:rPr>
          <w:rFonts w:ascii="Arial" w:hAnsi="Arial"/>
          <w:b/>
          <w:bCs/>
          <w:rtl/>
        </w:rPr>
        <w:t>נבצר מהבורר למלא את תפקידו.</w:t>
      </w:r>
      <w:r w:rsidRPr="003601ED">
        <w:rPr>
          <w:rFonts w:ascii="Arial" w:hAnsi="Arial" w:hint="cs"/>
          <w:rtl/>
        </w:rPr>
        <w:t>"</w:t>
      </w:r>
    </w:p>
    <w:p w14:paraId="7651F5CC" w14:textId="04EF0E88" w:rsidR="0091342F" w:rsidRDefault="0091342F" w:rsidP="0091342F">
      <w:pPr>
        <w:pStyle w:val="ab"/>
        <w:numPr>
          <w:ilvl w:val="0"/>
          <w:numId w:val="4"/>
        </w:numPr>
        <w:spacing w:line="360" w:lineRule="auto"/>
        <w:jc w:val="both"/>
        <w:rPr>
          <w:rFonts w:ascii="Arial" w:hAnsi="Arial"/>
        </w:rPr>
      </w:pPr>
      <w:r>
        <w:rPr>
          <w:rFonts w:ascii="Arial" w:hAnsi="Arial" w:hint="cs"/>
          <w:rtl/>
        </w:rPr>
        <w:t xml:space="preserve">גם המבקש לא הרחיק לכת לטעון כי התקיימו הנסיבות </w:t>
      </w:r>
      <w:r w:rsidR="003601ED">
        <w:rPr>
          <w:rFonts w:ascii="Arial" w:hAnsi="Arial" w:hint="cs"/>
          <w:rtl/>
        </w:rPr>
        <w:t>שבסעיף 11</w:t>
      </w:r>
      <w:r>
        <w:rPr>
          <w:rFonts w:ascii="Arial" w:hAnsi="Arial" w:hint="cs"/>
          <w:rtl/>
        </w:rPr>
        <w:t xml:space="preserve">(1) לחוק, והרי ציינה ב"כ המבקש כך בתגובתה: </w:t>
      </w:r>
    </w:p>
    <w:p w14:paraId="414F9124" w14:textId="17FA5AC1" w:rsidR="003A53F2" w:rsidRPr="003601ED" w:rsidRDefault="003601ED" w:rsidP="003A53F2">
      <w:pPr>
        <w:pStyle w:val="ab"/>
        <w:spacing w:line="360" w:lineRule="auto"/>
        <w:ind w:left="1440"/>
        <w:jc w:val="both"/>
        <w:rPr>
          <w:rFonts w:ascii="David" w:hAnsi="David"/>
          <w:b/>
          <w:bCs/>
        </w:rPr>
      </w:pPr>
      <w:r w:rsidRPr="003601ED">
        <w:rPr>
          <w:rFonts w:ascii="Arial" w:hAnsi="Arial" w:hint="cs"/>
          <w:noProof/>
          <w:rtl/>
        </w:rPr>
        <w:t>"</w:t>
      </w:r>
      <w:r w:rsidR="00F125A2">
        <w:rPr>
          <w:rFonts w:ascii="Arial" w:hAnsi="Arial" w:hint="cs"/>
          <w:b/>
          <w:bCs/>
          <w:noProof/>
          <w:sz w:val="22"/>
          <w:szCs w:val="22"/>
          <w:rtl/>
        </w:rPr>
        <w:t xml:space="preserve">יובהר כי אין בכוונת התובע לפגוע בשמה הטוב של הבוררת ובתכליתו של מוסד הבוררות בכלל, ואין חולק על ניסיונה הרב בעניינים אשר מנויים עם תחומי התמחותה, אולם גם אין חולק כי הבוררת אינה מומחית בסכסוכים הקשורים לדיני משפחה ולא בכדי נוצרו </w:t>
      </w:r>
      <w:r w:rsidR="00F125A2">
        <w:rPr>
          <w:rFonts w:ascii="Arial" w:hAnsi="Arial" w:hint="cs"/>
          <w:b/>
          <w:bCs/>
          <w:noProof/>
          <w:sz w:val="22"/>
          <w:szCs w:val="22"/>
          <w:u w:val="single"/>
          <w:rtl/>
        </w:rPr>
        <w:t xml:space="preserve">בחוק </w:t>
      </w:r>
      <w:r w:rsidR="00F125A2">
        <w:rPr>
          <w:rFonts w:ascii="Arial" w:hAnsi="Arial" w:hint="cs"/>
          <w:b/>
          <w:bCs/>
          <w:noProof/>
          <w:sz w:val="22"/>
          <w:szCs w:val="22"/>
          <w:rtl/>
        </w:rPr>
        <w:t>בתי משפט ייחודיים האמונים והמומחים בתחום דיני משפחה לדוגמת בית משפט נכבד זה. הרי לא יעלה על הדעת כי אדם חולה המבקש להיות מנותח בראשו, ינותח ע"י רופא גניקולוג חרף היותו הטוב ביותר בנמצא! יוער גם כי לו היה ב"כ הנתבעת עוסק בדיני משפחה, לא היה מעלה טיעונים מופרחים כי נושאי תביעתו של התובע הינם כלשונו "אזרחיים כספיים מובהקים ואינם קשורים לענייני משפחה",</w:t>
      </w:r>
      <w:r>
        <w:rPr>
          <w:rFonts w:ascii="Arial" w:hAnsi="Arial" w:hint="cs"/>
          <w:b/>
          <w:bCs/>
          <w:noProof/>
          <w:sz w:val="22"/>
          <w:szCs w:val="22"/>
          <w:rtl/>
        </w:rPr>
        <w:t xml:space="preserve"> ואולם לא כאן המקום ללמדו משפט."</w:t>
      </w:r>
    </w:p>
    <w:p w14:paraId="247FD9A3" w14:textId="77777777" w:rsidR="003A53F2" w:rsidRDefault="003A53F2" w:rsidP="004D423F">
      <w:pPr>
        <w:pStyle w:val="ab"/>
        <w:numPr>
          <w:ilvl w:val="0"/>
          <w:numId w:val="4"/>
        </w:numPr>
        <w:spacing w:line="360" w:lineRule="auto"/>
        <w:jc w:val="both"/>
        <w:rPr>
          <w:rFonts w:ascii="Arial" w:hAnsi="Arial"/>
        </w:rPr>
      </w:pPr>
      <w:r>
        <w:rPr>
          <w:rFonts w:ascii="Arial" w:hAnsi="Arial" w:hint="cs"/>
          <w:rtl/>
        </w:rPr>
        <w:t xml:space="preserve">כפי שצוין בתגובת המשיבה </w:t>
      </w:r>
      <w:r>
        <w:rPr>
          <w:rFonts w:ascii="Arial" w:hAnsi="Arial"/>
          <w:rtl/>
        </w:rPr>
        <w:t>–</w:t>
      </w:r>
      <w:r>
        <w:rPr>
          <w:rFonts w:ascii="Arial" w:hAnsi="Arial" w:hint="cs"/>
          <w:rtl/>
        </w:rPr>
        <w:t xml:space="preserve"> שאלת היקף העיזבון </w:t>
      </w:r>
      <w:r>
        <w:rPr>
          <w:rFonts w:ascii="Arial" w:hAnsi="Arial"/>
          <w:rtl/>
        </w:rPr>
        <w:t>–</w:t>
      </w:r>
      <w:r>
        <w:rPr>
          <w:rFonts w:ascii="Arial" w:hAnsi="Arial" w:hint="cs"/>
          <w:rtl/>
        </w:rPr>
        <w:t xml:space="preserve"> האם נלקחו כספים מקופת האפוטרופסות שלא לצורך האפוטרופסות אינה דורשת מיומנות מיוחדת בתחום דיני המשפחה אלא מדובר בסכסוך כספי גרידא. </w:t>
      </w:r>
    </w:p>
    <w:p w14:paraId="57CD0799" w14:textId="77777777" w:rsidR="003A53F2" w:rsidRDefault="003A53F2" w:rsidP="003A53F2">
      <w:pPr>
        <w:pStyle w:val="ab"/>
        <w:numPr>
          <w:ilvl w:val="0"/>
          <w:numId w:val="4"/>
        </w:numPr>
        <w:spacing w:line="360" w:lineRule="auto"/>
        <w:jc w:val="both"/>
        <w:rPr>
          <w:rFonts w:ascii="Arial" w:hAnsi="Arial"/>
        </w:rPr>
      </w:pPr>
      <w:r>
        <w:rPr>
          <w:rFonts w:ascii="Arial" w:hAnsi="Arial" w:hint="cs"/>
          <w:rtl/>
        </w:rPr>
        <w:t xml:space="preserve">לעניין סעיף 11 (2) </w:t>
      </w:r>
      <w:r>
        <w:rPr>
          <w:rFonts w:ascii="Arial" w:hAnsi="Arial"/>
          <w:rtl/>
        </w:rPr>
        <w:t>–</w:t>
      </w:r>
      <w:r>
        <w:rPr>
          <w:rFonts w:ascii="Arial" w:hAnsi="Arial" w:hint="cs"/>
          <w:rtl/>
        </w:rPr>
        <w:t xml:space="preserve"> כפי שעולה מהחלטת הבוררת (נפסח</w:t>
      </w:r>
      <w:r w:rsidR="00251CB1">
        <w:rPr>
          <w:rFonts w:ascii="Arial" w:hAnsi="Arial" w:hint="cs"/>
          <w:rtl/>
        </w:rPr>
        <w:t xml:space="preserve"> ד'</w:t>
      </w:r>
      <w:r>
        <w:rPr>
          <w:rFonts w:ascii="Arial" w:hAnsi="Arial" w:hint="cs"/>
          <w:rtl/>
        </w:rPr>
        <w:t xml:space="preserve"> לתגובה) העיכוב נובע מכך שהמבקש לא הגיש את המסמכים לשמאי, ולא מעיכוב הנובע מהתנהלות הבוררת. </w:t>
      </w:r>
    </w:p>
    <w:p w14:paraId="6FA95A10" w14:textId="77777777" w:rsidR="003A53F2" w:rsidRDefault="003A53F2" w:rsidP="003A53F2">
      <w:pPr>
        <w:pStyle w:val="ab"/>
        <w:numPr>
          <w:ilvl w:val="0"/>
          <w:numId w:val="4"/>
        </w:numPr>
        <w:spacing w:line="360" w:lineRule="auto"/>
        <w:jc w:val="both"/>
        <w:rPr>
          <w:rFonts w:ascii="Arial" w:hAnsi="Arial"/>
        </w:rPr>
      </w:pPr>
      <w:r>
        <w:rPr>
          <w:rFonts w:ascii="Arial" w:hAnsi="Arial" w:hint="cs"/>
          <w:rtl/>
        </w:rPr>
        <w:t xml:space="preserve">מכאן שלא נטען אף לכאורה כי קיימת כל עילה להעברת הבוררת מתפקידה. </w:t>
      </w:r>
    </w:p>
    <w:p w14:paraId="4EF0FDB7" w14:textId="77777777" w:rsidR="003A53F2" w:rsidRDefault="003A53F2" w:rsidP="004D423F">
      <w:pPr>
        <w:pStyle w:val="ab"/>
        <w:numPr>
          <w:ilvl w:val="0"/>
          <w:numId w:val="4"/>
        </w:numPr>
        <w:spacing w:line="360" w:lineRule="auto"/>
        <w:jc w:val="both"/>
        <w:rPr>
          <w:rFonts w:ascii="Arial" w:hAnsi="Arial"/>
        </w:rPr>
      </w:pPr>
      <w:r>
        <w:rPr>
          <w:rFonts w:ascii="Arial" w:hAnsi="Arial" w:hint="cs"/>
          <w:rtl/>
        </w:rPr>
        <w:t xml:space="preserve">מכאן </w:t>
      </w:r>
      <w:r w:rsidR="004D423F">
        <w:rPr>
          <w:rFonts w:ascii="Arial" w:hAnsi="Arial" w:hint="cs"/>
          <w:rtl/>
        </w:rPr>
        <w:t xml:space="preserve">גם </w:t>
      </w:r>
      <w:r>
        <w:rPr>
          <w:rFonts w:ascii="Arial" w:hAnsi="Arial" w:hint="cs"/>
          <w:rtl/>
        </w:rPr>
        <w:t>אין כל מקום לעיכוב הליכי הבוררות, וה</w:t>
      </w:r>
      <w:r w:rsidR="00251CB1">
        <w:rPr>
          <w:rFonts w:ascii="Arial" w:hAnsi="Arial" w:hint="cs"/>
          <w:rtl/>
        </w:rPr>
        <w:t xml:space="preserve">בקשה כפי שהוגשה </w:t>
      </w:r>
      <w:r w:rsidR="00251CB1">
        <w:rPr>
          <w:rFonts w:ascii="Arial" w:hAnsi="Arial"/>
          <w:rtl/>
        </w:rPr>
        <w:t>–</w:t>
      </w:r>
      <w:r w:rsidR="00251CB1">
        <w:rPr>
          <w:rFonts w:ascii="Arial" w:hAnsi="Arial" w:hint="cs"/>
          <w:rtl/>
        </w:rPr>
        <w:t xml:space="preserve"> עדיף לו לא הוגשה כלל. </w:t>
      </w:r>
    </w:p>
    <w:p w14:paraId="0E423086" w14:textId="77777777" w:rsidR="003A53F2" w:rsidRPr="003A53F2" w:rsidRDefault="003A53F2" w:rsidP="003A53F2">
      <w:pPr>
        <w:spacing w:line="360" w:lineRule="auto"/>
        <w:jc w:val="both"/>
        <w:rPr>
          <w:rFonts w:ascii="Arial" w:hAnsi="Arial"/>
          <w:b/>
          <w:bCs/>
        </w:rPr>
      </w:pPr>
      <w:r w:rsidRPr="003A53F2">
        <w:rPr>
          <w:rFonts w:ascii="Arial" w:hAnsi="Arial" w:hint="cs"/>
          <w:b/>
          <w:bCs/>
          <w:rtl/>
        </w:rPr>
        <w:t>הערה לסיום</w:t>
      </w:r>
    </w:p>
    <w:p w14:paraId="1C4C2C65" w14:textId="77777777" w:rsidR="00251CB1" w:rsidRDefault="00251CB1" w:rsidP="00251CB1">
      <w:pPr>
        <w:pStyle w:val="ab"/>
        <w:numPr>
          <w:ilvl w:val="0"/>
          <w:numId w:val="4"/>
        </w:numPr>
        <w:spacing w:line="360" w:lineRule="auto"/>
        <w:jc w:val="both"/>
        <w:rPr>
          <w:rFonts w:ascii="Arial" w:hAnsi="Arial"/>
        </w:rPr>
      </w:pPr>
      <w:r>
        <w:rPr>
          <w:rFonts w:ascii="Arial" w:hAnsi="Arial" w:hint="cs"/>
          <w:rtl/>
        </w:rPr>
        <w:lastRenderedPageBreak/>
        <w:t xml:space="preserve">מצער כי בדרך להשיג מטרה כזו או אחרת במסגרת הליכים בין הצדדים לא מצאה ב"כ המבקש לשמור על כבודה של הבוררת </w:t>
      </w:r>
      <w:r>
        <w:rPr>
          <w:rFonts w:ascii="Arial" w:hAnsi="Arial"/>
          <w:rtl/>
        </w:rPr>
        <w:t>–</w:t>
      </w:r>
      <w:r>
        <w:rPr>
          <w:rFonts w:ascii="Arial" w:hAnsi="Arial" w:hint="cs"/>
          <w:rtl/>
        </w:rPr>
        <w:t xml:space="preserve"> אליה פנו הצדדים בהסכמה, לשמור על כבוד המוסד לבוררות עסקית, וזאת בדרך של העלאת האשמות שונות כנגד צדדי ג' אשר אינם צד להליכים בפניי. </w:t>
      </w:r>
    </w:p>
    <w:p w14:paraId="314FDC82" w14:textId="77777777" w:rsidR="00CB16F4" w:rsidRDefault="00251CB1" w:rsidP="00251CB1">
      <w:pPr>
        <w:spacing w:line="360" w:lineRule="auto"/>
        <w:jc w:val="both"/>
        <w:rPr>
          <w:rFonts w:ascii="Arial" w:hAnsi="Arial"/>
          <w:b/>
          <w:bCs/>
          <w:u w:val="single"/>
          <w:rtl/>
        </w:rPr>
      </w:pPr>
      <w:r w:rsidRPr="00251CB1">
        <w:rPr>
          <w:rFonts w:ascii="Arial" w:hAnsi="Arial" w:hint="cs"/>
          <w:b/>
          <w:bCs/>
          <w:u w:val="single"/>
          <w:rtl/>
        </w:rPr>
        <w:t>סיכום</w:t>
      </w:r>
    </w:p>
    <w:p w14:paraId="5FCB3B72" w14:textId="77777777" w:rsidR="00251CB1" w:rsidRPr="00251CB1" w:rsidRDefault="00251CB1" w:rsidP="00251CB1">
      <w:pPr>
        <w:pStyle w:val="ab"/>
        <w:numPr>
          <w:ilvl w:val="0"/>
          <w:numId w:val="4"/>
        </w:numPr>
        <w:spacing w:line="360" w:lineRule="auto"/>
        <w:jc w:val="both"/>
        <w:rPr>
          <w:rFonts w:ascii="Arial" w:hAnsi="Arial"/>
        </w:rPr>
      </w:pPr>
      <w:r w:rsidRPr="00251CB1">
        <w:rPr>
          <w:rFonts w:ascii="Arial" w:hAnsi="Arial" w:hint="cs"/>
          <w:rtl/>
        </w:rPr>
        <w:t>הבקשה כפי שהוגשה נדחית.</w:t>
      </w:r>
    </w:p>
    <w:p w14:paraId="12B4648D" w14:textId="77777777" w:rsidR="00251CB1" w:rsidRPr="00251CB1" w:rsidRDefault="00251CB1" w:rsidP="004D423F">
      <w:pPr>
        <w:pStyle w:val="ab"/>
        <w:numPr>
          <w:ilvl w:val="0"/>
          <w:numId w:val="4"/>
        </w:numPr>
        <w:spacing w:line="360" w:lineRule="auto"/>
        <w:jc w:val="both"/>
        <w:rPr>
          <w:rFonts w:ascii="Arial" w:hAnsi="Arial"/>
        </w:rPr>
      </w:pPr>
      <w:r w:rsidRPr="00251CB1">
        <w:rPr>
          <w:rFonts w:ascii="Arial" w:hAnsi="Arial" w:hint="cs"/>
          <w:rtl/>
        </w:rPr>
        <w:t xml:space="preserve">המבקש יישא בהוצאות המשיבה בסך </w:t>
      </w:r>
      <w:r w:rsidR="004D423F">
        <w:rPr>
          <w:rFonts w:ascii="Arial" w:hAnsi="Arial" w:hint="cs"/>
          <w:rtl/>
        </w:rPr>
        <w:t xml:space="preserve">של 4,000 </w:t>
      </w:r>
      <w:r w:rsidRPr="00251CB1">
        <w:rPr>
          <w:rFonts w:ascii="Arial" w:hAnsi="Arial" w:hint="cs"/>
          <w:rtl/>
        </w:rPr>
        <w:t xml:space="preserve">₪. </w:t>
      </w:r>
    </w:p>
    <w:p w14:paraId="2D822A6C" w14:textId="77777777" w:rsidR="00251CB1" w:rsidRPr="00251CB1" w:rsidRDefault="00251CB1" w:rsidP="00251CB1">
      <w:pPr>
        <w:pStyle w:val="ab"/>
        <w:numPr>
          <w:ilvl w:val="0"/>
          <w:numId w:val="4"/>
        </w:numPr>
        <w:spacing w:line="360" w:lineRule="auto"/>
        <w:jc w:val="both"/>
        <w:rPr>
          <w:rFonts w:ascii="Arial" w:hAnsi="Arial"/>
          <w:rtl/>
        </w:rPr>
      </w:pPr>
      <w:r w:rsidRPr="00251CB1">
        <w:rPr>
          <w:rFonts w:ascii="Arial" w:hAnsi="Arial" w:hint="cs"/>
          <w:rtl/>
        </w:rPr>
        <w:t>ניתן לפרסום ללא פרטים מזהים.</w:t>
      </w:r>
    </w:p>
    <w:p w14:paraId="75A249B9" w14:textId="77777777" w:rsidR="00251CB1" w:rsidRPr="00CB16F4" w:rsidRDefault="00251CB1" w:rsidP="00CB16F4">
      <w:pPr>
        <w:pStyle w:val="ab"/>
        <w:spacing w:line="360" w:lineRule="auto"/>
        <w:ind w:left="1440"/>
        <w:jc w:val="both"/>
        <w:rPr>
          <w:rFonts w:ascii="Arial" w:hAnsi="Arial"/>
          <w:rtl/>
        </w:rPr>
      </w:pPr>
    </w:p>
    <w:p w14:paraId="6DF32BE6" w14:textId="77777777"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2107575069"/>
          <w:text w:multiLine="1"/>
        </w:sdtPr>
        <w:sdtEndPr/>
        <w:sdtContent>
          <w:r>
            <w:rPr>
              <w:rFonts w:ascii="Arial" w:hAnsi="Arial"/>
              <w:rtl/>
            </w:rPr>
            <w:t>י"ח תשרי תשפ"ה</w:t>
          </w:r>
        </w:sdtContent>
      </w:sdt>
      <w:r>
        <w:rPr>
          <w:rFonts w:ascii="Arial" w:hAnsi="Arial"/>
          <w:rtl/>
        </w:rPr>
        <w:t xml:space="preserve">, </w:t>
      </w:r>
      <w:sdt>
        <w:sdtPr>
          <w:rPr>
            <w:rtl/>
          </w:rPr>
          <w:alias w:val="1456"/>
          <w:tag w:val="1456"/>
          <w:id w:val="533474999"/>
          <w:text w:multiLine="1"/>
        </w:sdtPr>
        <w:sdtEndPr/>
        <w:sdtContent>
          <w:r>
            <w:rPr>
              <w:rFonts w:ascii="Arial" w:hAnsi="Arial"/>
              <w:rtl/>
            </w:rPr>
            <w:t>20 אוקטובר 2024</w:t>
          </w:r>
        </w:sdtContent>
      </w:sdt>
      <w:r>
        <w:rPr>
          <w:rFonts w:ascii="Arial" w:hAnsi="Arial"/>
          <w:rtl/>
        </w:rPr>
        <w:t>, בהעדר הצדדים.</w:t>
      </w:r>
    </w:p>
    <w:p w14:paraId="24E813C3" w14:textId="77777777" w:rsidR="0002177A" w:rsidRDefault="00375F47" w:rsidP="000E7159">
      <w:pPr>
        <w:tabs>
          <w:tab w:val="left" w:pos="2553"/>
        </w:tabs>
        <w:spacing w:line="360" w:lineRule="auto"/>
        <w:jc w:val="center"/>
        <w:rPr>
          <w:rtl/>
        </w:rPr>
      </w:pPr>
      <w:r>
        <w:rPr>
          <w:rFonts w:hint="cs"/>
          <w:rtl/>
        </w:rPr>
        <w:tab/>
      </w:r>
    </w:p>
    <w:p w14:paraId="764AE765" w14:textId="77777777" w:rsidR="0002177A" w:rsidRDefault="0002177A">
      <w:pPr>
        <w:rPr>
          <w:rFonts w:ascii="Arial" w:hAnsi="Arial"/>
          <w:rtl/>
        </w:rPr>
      </w:pPr>
    </w:p>
    <w:p w14:paraId="329BF970" w14:textId="77777777" w:rsidR="0002177A" w:rsidRDefault="0002177A">
      <w:pPr>
        <w:rPr>
          <w:rFonts w:ascii="Arial" w:hAnsi="Arial"/>
          <w:rtl/>
        </w:rPr>
      </w:pPr>
    </w:p>
    <w:p w14:paraId="24BD1F52" w14:textId="77777777" w:rsidR="0002177A" w:rsidRDefault="0002177A">
      <w:pPr>
        <w:rPr>
          <w:rFonts w:ascii="Arial" w:hAnsi="Arial"/>
          <w:rtl/>
        </w:rPr>
      </w:pPr>
    </w:p>
    <w:sdt>
      <w:sdtPr>
        <w:rPr>
          <w:rtl/>
        </w:rPr>
        <w:alias w:val="MergeField"/>
        <w:tag w:val="1237"/>
        <w:id w:val="501935857"/>
      </w:sdtPr>
      <w:sdtEndPr/>
      <w:sdtContent>
        <w:p w14:paraId="06675A45" w14:textId="77777777" w:rsidR="00114FCB" w:rsidRDefault="008E1081">
          <w:r>
            <w:rPr>
              <w:noProof/>
            </w:rPr>
            <w:drawing>
              <wp:inline distT="0" distB="0" distL="0" distR="0" wp14:anchorId="13E3615E" wp14:editId="151B06ED">
                <wp:extent cx="1641348" cy="498348"/>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stretch>
                          <a:fillRect/>
                        </a:stretch>
                      </pic:blipFill>
                      <pic:spPr>
                        <a:xfrm>
                          <a:off x="0" y="0"/>
                          <a:ext cx="1641348" cy="498348"/>
                        </a:xfrm>
                        <a:prstGeom prst="rect">
                          <a:avLst/>
                        </a:prstGeom>
                      </pic:spPr>
                    </pic:pic>
                  </a:graphicData>
                </a:graphic>
              </wp:inline>
            </w:drawing>
          </w:r>
        </w:p>
      </w:sdtContent>
    </w:sdt>
    <w:sectPr w:rsidR="00114FCB" w:rsidSect="001825F5">
      <w:headerReference w:type="default" r:id="rId10"/>
      <w:footerReference w:type="even" r:id="rId11"/>
      <w:footerReference w:type="default" r:id="rId12"/>
      <w:pgSz w:w="11907" w:h="16840" w:code="9"/>
      <w:pgMar w:top="244" w:right="1701" w:bottom="1985"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5BA97" w14:textId="77777777" w:rsidR="00222981" w:rsidRDefault="00222981">
      <w:r>
        <w:separator/>
      </w:r>
    </w:p>
  </w:endnote>
  <w:endnote w:type="continuationSeparator" w:id="0">
    <w:p w14:paraId="5DE21031" w14:textId="77777777" w:rsidR="00222981" w:rsidRDefault="0022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05409" w14:textId="77777777" w:rsidR="0002177A" w:rsidRDefault="00F73A3C">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14:paraId="2534DF92" w14:textId="77777777"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63AB0" w14:textId="268BECB7" w:rsidR="0002177A" w:rsidRDefault="00375F47">
    <w:pPr>
      <w:pStyle w:val="a4"/>
      <w:jc w:val="center"/>
    </w:pPr>
    <w:r>
      <w:rPr>
        <w:rtl/>
      </w:rPr>
      <w:t>עמוד</w:t>
    </w:r>
    <w:r>
      <w:t xml:space="preserve"> </w:t>
    </w:r>
    <w:r w:rsidR="00F73A3C">
      <w:fldChar w:fldCharType="begin"/>
    </w:r>
    <w:r>
      <w:instrText xml:space="preserve"> PAGE </w:instrText>
    </w:r>
    <w:r w:rsidR="00F73A3C">
      <w:fldChar w:fldCharType="separate"/>
    </w:r>
    <w:r w:rsidR="00B016E1">
      <w:rPr>
        <w:noProof/>
        <w:rtl/>
      </w:rPr>
      <w:t>1</w:t>
    </w:r>
    <w:r w:rsidR="00F73A3C">
      <w:fldChar w:fldCharType="end"/>
    </w:r>
    <w:r>
      <w:t xml:space="preserve"> </w:t>
    </w:r>
    <w:r>
      <w:rPr>
        <w:rtl/>
      </w:rPr>
      <w:t>מתוך</w:t>
    </w:r>
    <w:r>
      <w:t xml:space="preserve"> </w:t>
    </w:r>
    <w:r w:rsidR="00F73A3C">
      <w:fldChar w:fldCharType="begin"/>
    </w:r>
    <w:r>
      <w:instrText xml:space="preserve"> NUMPAGES </w:instrText>
    </w:r>
    <w:r w:rsidR="00F73A3C">
      <w:fldChar w:fldCharType="separate"/>
    </w:r>
    <w:r w:rsidR="00B016E1">
      <w:rPr>
        <w:noProof/>
        <w:rtl/>
      </w:rPr>
      <w:t>1</w:t>
    </w:r>
    <w:r w:rsidR="00F73A3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CC18A" w14:textId="77777777" w:rsidR="00222981" w:rsidRDefault="00222981">
      <w:r>
        <w:separator/>
      </w:r>
    </w:p>
  </w:footnote>
  <w:footnote w:type="continuationSeparator" w:id="0">
    <w:p w14:paraId="7803B129" w14:textId="77777777" w:rsidR="00222981" w:rsidRDefault="00222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BCC86" w14:textId="77777777" w:rsidR="0002177A" w:rsidRDefault="00375F47">
    <w:pPr>
      <w:pStyle w:val="a3"/>
      <w:jc w:val="center"/>
      <w:rPr>
        <w:rFonts w:cs="FrankRuehl"/>
        <w:sz w:val="28"/>
        <w:szCs w:val="28"/>
        <w:rtl/>
      </w:rPr>
    </w:pPr>
    <w:r>
      <w:rPr>
        <w:rFonts w:cs="Times New Roman" w:hint="cs"/>
        <w:b/>
        <w:bCs/>
        <w:sz w:val="26"/>
        <w:szCs w:val="28"/>
        <w:rtl/>
      </w:rPr>
      <w:t xml:space="preserve"> </w:t>
    </w:r>
    <w:r w:rsidR="00E71D38">
      <w:rPr>
        <w:rFonts w:cs="FrankRuehl"/>
        <w:noProof/>
        <w:sz w:val="28"/>
        <w:szCs w:val="28"/>
      </w:rPr>
      <w:drawing>
        <wp:inline distT="0" distB="0" distL="0" distR="0" wp14:anchorId="46F22B2E" wp14:editId="536F5741">
          <wp:extent cx="374015" cy="469265"/>
          <wp:effectExtent l="0" t="0" r="6985" b="6985"/>
          <wp:docPr id="1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66"/>
      <w:gridCol w:w="1045"/>
      <w:gridCol w:w="3594"/>
    </w:tblGrid>
    <w:tr w:rsidR="0002177A" w14:paraId="68787078" w14:textId="77777777">
      <w:trPr>
        <w:trHeight w:hRule="exact" w:val="418"/>
        <w:jc w:val="center"/>
      </w:trPr>
      <w:sdt>
        <w:sdtPr>
          <w:rPr>
            <w:rtl/>
          </w:rPr>
          <w:alias w:val="1174"/>
          <w:tag w:val="1174"/>
          <w:id w:val="583721770"/>
          <w:text/>
        </w:sdtPr>
        <w:sdtEndPr/>
        <w:sdtContent>
          <w:tc>
            <w:tcPr>
              <w:tcW w:w="8721" w:type="dxa"/>
              <w:gridSpan w:val="3"/>
            </w:tcPr>
            <w:p w14:paraId="3BE20221" w14:textId="77777777" w:rsidR="0002177A" w:rsidRDefault="00375F47">
              <w:pPr>
                <w:pStyle w:val="a3"/>
                <w:jc w:val="center"/>
                <w:rPr>
                  <w:rFonts w:ascii="Tahoma" w:hAnsi="Tahoma" w:cs="Tahoma"/>
                  <w:b/>
                  <w:bCs/>
                  <w:color w:val="000080"/>
                  <w:rtl/>
                </w:rPr>
              </w:pPr>
              <w:r>
                <w:rPr>
                  <w:rFonts w:ascii="Tahoma" w:hAnsi="Tahoma" w:cs="Tahoma"/>
                  <w:b/>
                  <w:bCs/>
                  <w:color w:val="000080"/>
                  <w:rtl/>
                </w:rPr>
                <w:t>בית משפט לענייני משפחה בפתח תקווה</w:t>
              </w:r>
            </w:p>
          </w:tc>
        </w:sdtContent>
      </w:sdt>
    </w:tr>
    <w:tr w:rsidR="0002177A" w14:paraId="0C02189E" w14:textId="77777777">
      <w:trPr>
        <w:trHeight w:val="337"/>
        <w:jc w:val="center"/>
      </w:trPr>
      <w:tc>
        <w:tcPr>
          <w:tcW w:w="3979" w:type="dxa"/>
        </w:tcPr>
        <w:p w14:paraId="6F7FAC8B" w14:textId="77777777" w:rsidR="0002177A" w:rsidRDefault="0002177A">
          <w:pPr>
            <w:rPr>
              <w:b/>
              <w:bCs/>
              <w:sz w:val="26"/>
              <w:szCs w:val="26"/>
              <w:rtl/>
            </w:rPr>
          </w:pPr>
        </w:p>
      </w:tc>
      <w:tc>
        <w:tcPr>
          <w:tcW w:w="1070" w:type="dxa"/>
        </w:tcPr>
        <w:p w14:paraId="100B417E" w14:textId="77777777" w:rsidR="0002177A" w:rsidRDefault="0002177A">
          <w:pPr>
            <w:pStyle w:val="a3"/>
            <w:jc w:val="center"/>
            <w:rPr>
              <w:b/>
              <w:bCs/>
              <w:sz w:val="26"/>
              <w:szCs w:val="26"/>
              <w:rtl/>
            </w:rPr>
          </w:pPr>
        </w:p>
      </w:tc>
      <w:sdt>
        <w:sdtPr>
          <w:rPr>
            <w:rtl/>
          </w:rPr>
          <w:alias w:val="1456"/>
          <w:tag w:val="1456"/>
          <w:id w:val="936331009"/>
          <w:text/>
        </w:sdtPr>
        <w:sdtEndPr/>
        <w:sdtContent>
          <w:tc>
            <w:tcPr>
              <w:tcW w:w="3672" w:type="dxa"/>
            </w:tcPr>
            <w:p w14:paraId="1ADC2EF4" w14:textId="77777777" w:rsidR="0002177A" w:rsidRDefault="00375F47">
              <w:pPr>
                <w:pStyle w:val="a3"/>
                <w:jc w:val="center"/>
                <w:rPr>
                  <w:b/>
                  <w:bCs/>
                  <w:sz w:val="26"/>
                  <w:szCs w:val="26"/>
                  <w:rtl/>
                </w:rPr>
              </w:pPr>
              <w:r>
                <w:rPr>
                  <w:b/>
                  <w:bCs/>
                  <w:sz w:val="26"/>
                  <w:szCs w:val="26"/>
                  <w:rtl/>
                </w:rPr>
                <w:t>20 אוקטובר 2024</w:t>
              </w:r>
            </w:p>
          </w:tc>
        </w:sdtContent>
      </w:sdt>
    </w:tr>
    <w:tr w:rsidR="0002177A" w14:paraId="6AAC10B6" w14:textId="77777777">
      <w:trPr>
        <w:trHeight w:val="337"/>
        <w:jc w:val="center"/>
      </w:trPr>
      <w:tc>
        <w:tcPr>
          <w:tcW w:w="8721" w:type="dxa"/>
          <w:gridSpan w:val="3"/>
        </w:tcPr>
        <w:p w14:paraId="47770DEF" w14:textId="085987C8" w:rsidR="0002177A" w:rsidRDefault="00222981" w:rsidP="003601ED">
          <w:pPr>
            <w:rPr>
              <w:b/>
              <w:bCs/>
              <w:sz w:val="26"/>
              <w:szCs w:val="26"/>
              <w:rtl/>
            </w:rPr>
          </w:pPr>
          <w:sdt>
            <w:sdtPr>
              <w:rPr>
                <w:rtl/>
              </w:rPr>
              <w:alias w:val="1170"/>
              <w:tag w:val="1170"/>
              <w:id w:val="1229954845"/>
              <w:text w:multiLine="1"/>
            </w:sdtPr>
            <w:sdtEndPr/>
            <w:sdtContent>
              <w:r w:rsidR="001A5085">
                <w:rPr>
                  <w:b/>
                  <w:bCs/>
                  <w:sz w:val="26"/>
                  <w:szCs w:val="26"/>
                  <w:rtl/>
                </w:rPr>
                <w:t>תמ"ש</w:t>
              </w:r>
            </w:sdtContent>
          </w:sdt>
          <w:r w:rsidR="00375F47">
            <w:rPr>
              <w:rFonts w:hint="cs"/>
              <w:b/>
              <w:bCs/>
              <w:sz w:val="26"/>
              <w:szCs w:val="26"/>
              <w:rtl/>
            </w:rPr>
            <w:t xml:space="preserve"> </w:t>
          </w:r>
          <w:sdt>
            <w:sdtPr>
              <w:rPr>
                <w:rtl/>
              </w:rPr>
              <w:alias w:val="1171"/>
              <w:tag w:val="1171"/>
              <w:id w:val="1918820083"/>
              <w:text w:multiLine="1"/>
            </w:sdtPr>
            <w:sdtEndPr/>
            <w:sdtContent>
              <w:r w:rsidR="001A5085">
                <w:rPr>
                  <w:b/>
                  <w:bCs/>
                  <w:sz w:val="26"/>
                  <w:szCs w:val="26"/>
                  <w:rtl/>
                </w:rPr>
                <w:t>49744-02-24</w:t>
              </w:r>
            </w:sdtContent>
          </w:sdt>
          <w:r w:rsidR="00375F47">
            <w:rPr>
              <w:rFonts w:hint="cs"/>
              <w:b/>
              <w:bCs/>
              <w:sz w:val="26"/>
              <w:szCs w:val="26"/>
              <w:rtl/>
            </w:rPr>
            <w:t xml:space="preserve"> </w:t>
          </w:r>
          <w:sdt>
            <w:sdtPr>
              <w:rPr>
                <w:rtl/>
              </w:rPr>
              <w:alias w:val="1172"/>
              <w:tag w:val="1172"/>
              <w:id w:val="1843509461"/>
              <w:text w:multiLine="1"/>
            </w:sdtPr>
            <w:sdtEndPr/>
            <w:sdtContent>
              <w:r w:rsidR="003601ED">
                <w:rPr>
                  <w:rFonts w:hint="cs"/>
                  <w:b/>
                  <w:bCs/>
                  <w:sz w:val="26"/>
                  <w:szCs w:val="26"/>
                  <w:rtl/>
                </w:rPr>
                <w:t>פלוני נ' פלונית</w:t>
              </w:r>
            </w:sdtContent>
          </w:sdt>
        </w:p>
        <w:p w14:paraId="3D5E6DEE" w14:textId="77777777" w:rsidR="0002177A" w:rsidRDefault="0002177A">
          <w:pPr>
            <w:rPr>
              <w:rtl/>
            </w:rPr>
          </w:pPr>
        </w:p>
      </w:tc>
    </w:tr>
  </w:tbl>
  <w:p w14:paraId="6609FA5F" w14:textId="77777777" w:rsidR="0002177A" w:rsidRDefault="000217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E40F1B"/>
    <w:multiLevelType w:val="hybridMultilevel"/>
    <w:tmpl w:val="0C7E9F8E"/>
    <w:lvl w:ilvl="0" w:tplc="439076B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6C3731E"/>
    <w:multiLevelType w:val="hybridMultilevel"/>
    <w:tmpl w:val="F850B704"/>
    <w:lvl w:ilvl="0" w:tplc="3840742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9B04FA6"/>
    <w:multiLevelType w:val="hybridMultilevel"/>
    <w:tmpl w:val="70562DC8"/>
    <w:lvl w:ilvl="0" w:tplc="B06832F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5D5AF0"/>
    <w:multiLevelType w:val="hybridMultilevel"/>
    <w:tmpl w:val="9FB68A9E"/>
    <w:lvl w:ilvl="0" w:tplc="BCF21706">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F73DAF"/>
    <w:multiLevelType w:val="hybridMultilevel"/>
    <w:tmpl w:val="D62C08B2"/>
    <w:lvl w:ilvl="0" w:tplc="6DA4C324">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EFE5B01"/>
    <w:multiLevelType w:val="hybridMultilevel"/>
    <w:tmpl w:val="3BCEBAB6"/>
    <w:lvl w:ilvl="0" w:tplc="A680205E">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7"/>
  </w:num>
  <w:num w:numId="2">
    <w:abstractNumId w:val="0"/>
  </w:num>
  <w:num w:numId="3">
    <w:abstractNumId w:val="5"/>
  </w:num>
  <w:num w:numId="4">
    <w:abstractNumId w:val="3"/>
  </w:num>
  <w:num w:numId="5">
    <w:abstractNumId w:val="4"/>
  </w:num>
  <w:num w:numId="6">
    <w:abstractNumId w:val="6"/>
  </w:num>
  <w:num w:numId="7">
    <w:abstractNumId w:val="2"/>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136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13689&amp;lt;/CaseID&amp;gt;_x000d__x000a_        &amp;lt;CaseMonth&amp;gt;2&amp;lt;/CaseMonth&amp;gt;_x000d__x000a_        &amp;lt;CaseYear&amp;gt;2024&amp;lt;/CaseYear&amp;gt;_x000d__x000a_        &amp;lt;CaseNumber&amp;gt;49744&amp;lt;/CaseNumber&amp;gt;_x000d__x000a_        &amp;lt;NumeratorGroupID&amp;gt;1&amp;lt;/NumeratorGroupID&amp;gt;_x000d__x000a_        &amp;lt;CaseName&amp;gt;וטנמכר נ&amp;#39; שיינפלד&amp;lt;/CaseName&amp;gt;_x000d__x000a_        &amp;lt;CourtID&amp;gt;35&amp;lt;/CourtID&amp;gt;_x000d__x000a_        &amp;lt;CaseTypeID&amp;gt;15&amp;lt;/CaseTypeID&amp;gt;_x000d__x000a_        &amp;lt;CaseInterestID&amp;gt;167&amp;lt;/CaseInterestID&amp;gt;_x000d__x000a_        &amp;lt;CaseJudgeName&amp;gt;רבקה מקייס&amp;lt;/CaseJudgeName&amp;gt;_x000d__x000a_        &amp;lt;ProcedureID&amp;gt;1&amp;lt;/ProcedureID&amp;gt;_x000d__x000a_        &amp;lt;CaseStatusID&amp;gt;2&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9744-02-24&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OpenDate&amp;gt;2024-02-21T12:36: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13689&amp;lt;/CaseID&amp;gt;_x000d__x000a_        &amp;lt;CaseMonth&amp;gt;2&amp;lt;/CaseMonth&amp;gt;_x000d__x000a_        &amp;lt;CaseYear&amp;gt;2024&amp;lt;/CaseYear&amp;gt;_x000d__x000a_        &amp;lt;CaseNumber&amp;gt;49744&amp;lt;/CaseNumber&amp;gt;_x000d__x000a_        &amp;lt;NumeratorGroupID&amp;gt;1&amp;lt;/NumeratorGroupID&amp;gt;_x000d__x000a_        &amp;lt;CaseName&amp;gt;וטנמכר נ&amp;#39; שיינפלד&amp;lt;/CaseName&amp;gt;_x000d__x000a_        &amp;lt;CourtID&amp;gt;35&amp;lt;/CourtID&amp;gt;_x000d__x000a_        &amp;lt;CaseTypeID&amp;gt;15&amp;lt;/CaseTypeID&amp;gt;_x000d__x000a_        &amp;lt;CaseInterestID&amp;gt;167&amp;lt;/CaseInterestID&amp;gt;_x000d__x000a_        &amp;lt;CaseJudgeName&amp;gt;רבקה מקייס&amp;lt;/CaseJudgeName&amp;gt;_x000d__x000a_        &amp;lt;ProcedureID&amp;gt;1&amp;lt;/ProcedureID&amp;gt;_x000d__x000a_        &amp;lt;CaseStatusID&amp;gt;2&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9744-02-24&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OpenDate&amp;gt;2024-02-21T12:36: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83437&amp;lt;/DecisionID&amp;gt;_x000d__x000a_        &amp;lt;DecisionName&amp;gt;החלטה  שניתנה ע&amp;quot;י  רבקה מקייס&amp;lt;/DecisionName&amp;gt;_x000d__x000a_        &amp;lt;DecisionStatusID&amp;gt;1&amp;lt;/DecisionStatusID&amp;gt;_x000d__x000a_        &amp;lt;DecisionStatusChangeDate&amp;gt;2024-10-19T13:05:45.107+03:00&amp;lt;/DecisionStatusChangeDate&amp;gt;_x000d__x000a_        &amp;lt;DecisionSignatureDate&amp;gt;2024-10-19T13:05:43.673+03:00&amp;lt;/DecisionSignatureDate&amp;gt;_x000d__x000a_        &amp;lt;DecisionSignatureUserID&amp;gt;013388327@GOV.IL&amp;lt;/DecisionSignatureUserID&amp;gt;_x000d__x000a_        &amp;lt;DecisionCreateDate&amp;gt;2024-10-05T11:35:20.933+03:00&amp;lt;/DecisionCreateDate&amp;gt;_x000d__x000a_        &amp;lt;DecisionChangeDate&amp;gt;2024-10-19T13:05:45.167+03:00&amp;lt;/DecisionChangeDate&amp;gt;_x000d__x000a_        &amp;lt;DecisionChangeUserID&amp;gt;0133883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93887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33883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3388327@GOV.IL&amp;lt;/DecisionCreationUserID&amp;gt;_x000d__x000a_        &amp;lt;DecisionDisplayName&amp;gt;החלטה  שניתנה ע&amp;quot;י  רבקה מקייס&amp;lt;/DecisionDisplayName&amp;gt;_x000d__x000a_        &amp;lt;IsScanned&amp;gt;false&amp;lt;/IsScanned&amp;gt;_x000d__x000a_        &amp;lt;DecisionSignatureUserName&amp;gt;רבקה מקיי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5283437&amp;lt;/DecisionID&amp;gt;_x000d__x000a_        &amp;lt;CaseID&amp;gt;81013689&amp;lt;/CaseID&amp;gt;_x000d__x000a_        &amp;lt;IsOriginal&amp;gt;true&amp;lt;/IsOriginal&amp;gt;_x000d__x000a_        &amp;lt;IsDeleted&amp;gt;false&amp;lt;/IsDeleted&amp;gt;_x000d__x000a_        &amp;lt;CaseName&amp;gt;וטנמכר נ&amp;#39; שיינפלד&amp;lt;/CaseName&amp;gt;_x000d__x000a_        &amp;lt;CaseDisplayIdentifier&amp;gt;49744-02-24 תמ&amp;quot;ש&amp;lt;/CaseDisplayIdentifier&amp;gt;_x000d__x000a_      &amp;lt;/dt_DecisionCase&amp;gt;_x000d__x000a_    &amp;lt;/DecisionDS&amp;gt;_x000d__x000a_  &amp;lt;/diffgr:diffgram&amp;gt;_x000d__x000a_&amp;lt;/DecisionDS&amp;gt;"/>
    <w:docVar w:name="DecisionID" w:val="155283437"/>
    <w:docVar w:name="WordClientAssemblyName" w:val="NGCS.Decision.ClientWordBL"/>
    <w:docVar w:name="WordClientClassName" w:val="NGCS.Decision.ClientWordBL.DecisionClient"/>
  </w:docVars>
  <w:rsids>
    <w:rsidRoot w:val="0002177A"/>
    <w:rsid w:val="0002177A"/>
    <w:rsid w:val="00034181"/>
    <w:rsid w:val="0004596A"/>
    <w:rsid w:val="000822A1"/>
    <w:rsid w:val="00092EF9"/>
    <w:rsid w:val="000B1D47"/>
    <w:rsid w:val="000C400E"/>
    <w:rsid w:val="000E7159"/>
    <w:rsid w:val="00114FCB"/>
    <w:rsid w:val="001300A9"/>
    <w:rsid w:val="001825F5"/>
    <w:rsid w:val="00187785"/>
    <w:rsid w:val="00197F5D"/>
    <w:rsid w:val="001A5085"/>
    <w:rsid w:val="001B29D6"/>
    <w:rsid w:val="001E0126"/>
    <w:rsid w:val="00222981"/>
    <w:rsid w:val="00246CAA"/>
    <w:rsid w:val="00251CB1"/>
    <w:rsid w:val="002E5657"/>
    <w:rsid w:val="00302AE0"/>
    <w:rsid w:val="00312DDD"/>
    <w:rsid w:val="003409A2"/>
    <w:rsid w:val="003601ED"/>
    <w:rsid w:val="00375F47"/>
    <w:rsid w:val="003A53F2"/>
    <w:rsid w:val="003B582B"/>
    <w:rsid w:val="003C31EE"/>
    <w:rsid w:val="00474E69"/>
    <w:rsid w:val="004D423F"/>
    <w:rsid w:val="00500B02"/>
    <w:rsid w:val="00534088"/>
    <w:rsid w:val="00535F3E"/>
    <w:rsid w:val="0058770E"/>
    <w:rsid w:val="005B5D57"/>
    <w:rsid w:val="005C7C23"/>
    <w:rsid w:val="005E1D33"/>
    <w:rsid w:val="005E2F36"/>
    <w:rsid w:val="00614240"/>
    <w:rsid w:val="00646DEE"/>
    <w:rsid w:val="006753A6"/>
    <w:rsid w:val="00687734"/>
    <w:rsid w:val="0069798D"/>
    <w:rsid w:val="006A1F3D"/>
    <w:rsid w:val="006C231D"/>
    <w:rsid w:val="006D7D77"/>
    <w:rsid w:val="006E5311"/>
    <w:rsid w:val="00730B91"/>
    <w:rsid w:val="00772E3E"/>
    <w:rsid w:val="00773F3A"/>
    <w:rsid w:val="00784028"/>
    <w:rsid w:val="007C5D5D"/>
    <w:rsid w:val="00844D02"/>
    <w:rsid w:val="008819DF"/>
    <w:rsid w:val="008D08F6"/>
    <w:rsid w:val="008E1081"/>
    <w:rsid w:val="0091342F"/>
    <w:rsid w:val="0092385D"/>
    <w:rsid w:val="00944F77"/>
    <w:rsid w:val="009D22DD"/>
    <w:rsid w:val="009D3100"/>
    <w:rsid w:val="00A14AA6"/>
    <w:rsid w:val="00A35971"/>
    <w:rsid w:val="00A41875"/>
    <w:rsid w:val="00AC20BE"/>
    <w:rsid w:val="00AD1A15"/>
    <w:rsid w:val="00B016E1"/>
    <w:rsid w:val="00B65AE7"/>
    <w:rsid w:val="00B70DE6"/>
    <w:rsid w:val="00C00F26"/>
    <w:rsid w:val="00C27D3A"/>
    <w:rsid w:val="00C37DE6"/>
    <w:rsid w:val="00CB16F4"/>
    <w:rsid w:val="00CB54B4"/>
    <w:rsid w:val="00CC2C04"/>
    <w:rsid w:val="00D47B8B"/>
    <w:rsid w:val="00D709E4"/>
    <w:rsid w:val="00DC1C89"/>
    <w:rsid w:val="00DC5FBB"/>
    <w:rsid w:val="00DC7EB4"/>
    <w:rsid w:val="00E05662"/>
    <w:rsid w:val="00E25356"/>
    <w:rsid w:val="00E71D38"/>
    <w:rsid w:val="00E76C49"/>
    <w:rsid w:val="00F125A2"/>
    <w:rsid w:val="00F641CC"/>
    <w:rsid w:val="00F73A3C"/>
    <w:rsid w:val="00FA211E"/>
    <w:rsid w:val="00FB0142"/>
    <w:rsid w:val="00FB4EE3"/>
    <w:rsid w:val="00FC1BB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E5AC3"/>
  <w15:docId w15:val="{1BB2AE95-4873-405A-96D8-7C742A7A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DC1C89"/>
    <w:rPr>
      <w:color w:val="808080"/>
    </w:rPr>
  </w:style>
  <w:style w:type="paragraph" w:styleId="ab">
    <w:name w:val="List Paragraph"/>
    <w:basedOn w:val="a"/>
    <w:uiPriority w:val="34"/>
    <w:qFormat/>
    <w:rsid w:val="005E2F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3019">
      <w:bodyDiv w:val="1"/>
      <w:marLeft w:val="0"/>
      <w:marRight w:val="0"/>
      <w:marTop w:val="0"/>
      <w:marBottom w:val="0"/>
      <w:divBdr>
        <w:top w:val="none" w:sz="0" w:space="0" w:color="auto"/>
        <w:left w:val="none" w:sz="0" w:space="0" w:color="auto"/>
        <w:bottom w:val="none" w:sz="0" w:space="0" w:color="auto"/>
        <w:right w:val="none" w:sz="0" w:space="0" w:color="auto"/>
      </w:divBdr>
    </w:div>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423114605">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559679978">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2047245">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B083814153403DA1955A6BD65FF9AA"/>
        <w:category>
          <w:name w:val="כללי"/>
          <w:gallery w:val="placeholder"/>
        </w:category>
        <w:types>
          <w:type w:val="bbPlcHdr"/>
        </w:types>
        <w:behaviors>
          <w:behavior w:val="content"/>
        </w:behaviors>
        <w:guid w:val="{A1B41AEE-A4C7-4857-9134-B3CCF42EB826}"/>
      </w:docPartPr>
      <w:docPartBody>
        <w:p w:rsidR="00FA3FE0" w:rsidRDefault="00FA3FE0" w:rsidP="00FA3FE0">
          <w:pPr>
            <w:pStyle w:val="02B083814153403DA1955A6BD65FF9AA"/>
          </w:pPr>
          <w:r w:rsidRPr="00DC1C89">
            <w:rPr>
              <w:rFonts w:ascii="Arial" w:hAnsi="Arial"/>
              <w:b/>
              <w:bCs/>
              <w:rtl/>
            </w:rPr>
            <w:t xml:space="preserve">שם משתמש חותם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3F1"/>
    <w:rsid w:val="00246CAA"/>
    <w:rsid w:val="004813F1"/>
    <w:rsid w:val="00745DF2"/>
    <w:rsid w:val="00795962"/>
    <w:rsid w:val="00937DE3"/>
    <w:rsid w:val="00B23330"/>
    <w:rsid w:val="00FA3FE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A3FE0"/>
    <w:rPr>
      <w:color w:val="808080"/>
    </w:rPr>
  </w:style>
  <w:style w:type="paragraph" w:customStyle="1" w:styleId="02B083814153403DA1955A6BD65FF9AA">
    <w:name w:val="02B083814153403DA1955A6BD65FF9AA"/>
    <w:rsid w:val="00FA3FE0"/>
    <w:pPr>
      <w:bidi/>
      <w:spacing w:after="0" w:line="240" w:lineRule="auto"/>
    </w:pPr>
    <w:rPr>
      <w:rFonts w:ascii="Times New Roman" w:eastAsia="Times New Roman" w:hAnsi="Times New Roman" w:cs="David"/>
      <w:sz w:val="24"/>
      <w:szCs w:val="24"/>
    </w:rPr>
  </w:style>
  <w:style w:type="paragraph" w:customStyle="1" w:styleId="672AEACA74E149D2AC4D531D4FDE2AA4">
    <w:name w:val="672AEACA74E149D2AC4D531D4FDE2AA4"/>
    <w:rsid w:val="00FA3FE0"/>
    <w:pPr>
      <w:bidi/>
    </w:pPr>
  </w:style>
  <w:style w:type="paragraph" w:customStyle="1" w:styleId="888D7751DF2346CEBC116E8A91DDAD89">
    <w:name w:val="888D7751DF2346CEBC116E8A91DDAD89"/>
    <w:rsid w:val="00FA3FE0"/>
    <w:pPr>
      <w:bidi/>
    </w:pPr>
  </w:style>
  <w:style w:type="paragraph" w:customStyle="1" w:styleId="EC461EF93EA84715AD271CB11469971C">
    <w:name w:val="EC461EF93EA84715AD271CB11469971C"/>
    <w:rsid w:val="00FA3FE0"/>
    <w:pPr>
      <w:bidi/>
    </w:pPr>
  </w:style>
  <w:style w:type="paragraph" w:customStyle="1" w:styleId="17827532C3BE42D2B7F6AB8C92CCA10F">
    <w:name w:val="17827532C3BE42D2B7F6AB8C92CCA10F"/>
    <w:rsid w:val="00FA3FE0"/>
    <w:pPr>
      <w:bidi/>
    </w:pPr>
  </w:style>
  <w:style w:type="paragraph" w:customStyle="1" w:styleId="0FBDBA697F934C37BC290080AA8FFC4F">
    <w:name w:val="0FBDBA697F934C37BC290080AA8FFC4F"/>
    <w:rsid w:val="00FA3FE0"/>
    <w:pPr>
      <w:bidi/>
    </w:pPr>
  </w:style>
  <w:style w:type="paragraph" w:customStyle="1" w:styleId="FE2B3CD582EA4127ABAE1AD6805A3477">
    <w:name w:val="FE2B3CD582EA4127ABAE1AD6805A3477"/>
    <w:rsid w:val="00FA3FE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ד"ר איריס טרומן</FullName>
        <FirstName>ד"ר איריס</FirstName>
        <LastName>טרומן</LastName>
        <PartyPropertyName/>
        <AuthenticationTypeAndNumber>מ.ר. 50622</AuthenticationTypeAndNumber>
        <RepresentatedOrRepresentativesNames>מיכאל וטנמכר</RepresentatedOrRepresentativesNames>
        <RepresentatedOrRepresentativesCount>1</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269610309</CasePartyID>
        <PartyTypeID>2</PartyTypeID>
        <ActivityStatusID>1</ActivityStatusID>
        <PartyAliasID>20</PartyAliasID>
        <PartyAliasName>בא כוח תובעים</PartyAliasName>
        <LegalEntityID>15874076</LegalEntityID>
        <CaseLegalEntityID>128714507</CaseLegalEntityID>
        <AuthenticationTypeID>4</AuthenticationTypeID>
        <AuthenticationTypeName>מ.ר.</AuthenticationTypeName>
        <LegalEntityNumber>50622</LegalEntityNumber>
        <IsMainPartyType>true</IsMainPartyType>
        <CaseDisplayIdentifier>49744-02-24</CaseDisplayIdentifier>
        <CaseTypeID>15</CaseTypeID>
        <CaseTypeName>תיק משפחה (תמ"ש)</CaseTypeName>
        <CaseName>וטנמכר נ' שיינפלד</CaseName>
        <FullAddress>ברנשטיין כהן 34 רמת השרון רמת השרון</FullAddress>
        <EmailAddress>truman.adv@gmail.com</EmailAddress>
        <MotionID>0</MotionID>
        <CasePleaID>0</CasePleaID>
        <LinkedCaseID>0</LinkedCaseID>
        <PartyID>1</PartyID>
        <CasePartyCategoryID>2</CasePartyCategoryID>
        <LegalEntityAddressID>16140516</LegalEntityAddressID>
        <LegalEntityEmailAddressID>68050166</LegalEntityEmailAddressID>
        <PleaTypeID>4</PleaTypeID>
        <LawyerOfficeName>משרד עו"ד ד"ר איריס טרומן</LawyerOfficeName>
        <LawyerOfficeID>15874077</LawyerOfficeID>
        <GroupPartyAlias/>
        <IsConverted>false</IsConverted>
        <LegalEntityNameID>81180758</LegalEntityNameID>
        <RepresentatedNamesOfAssistant/>
        <LegalEntityTypeID>4</LegalEntityTypeID>
        <IsVerdictExists>false</IsVerdictExists>
        <IsAsirAzir>false</IsAsirAzir>
        <MainAndSecSpec/>
        <IsPublicationProhibited>false</IsPublicationProhibited>
        <PublicationProhibitedFullName>ד"ר איריס טרומן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יהושע סגל</FullName>
        <FirstName>יהושע</FirstName>
        <LastName>סגל</LastName>
        <PartyPropertyName/>
        <AuthenticationTypeAndNumber>מ.ר. 9756</AuthenticationTypeAndNumber>
        <RepresentatedOrRepresentativesNames>רעיה שיינפלד</RepresentatedOrRepresentativesNames>
        <RepresentatedOrRepresentativesCount>1</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276369909</CasePartyID>
        <PartyTypeID>2</PartyTypeID>
        <ActivityStatusID>1</ActivityStatusID>
        <PartyAliasID>21</PartyAliasID>
        <PartyAliasName>בא כוח נתבעים</PartyAliasName>
        <LegalEntityID>380061</LegalEntityID>
        <CaseLegalEntityID>131882113</CaseLegalEntityID>
        <AuthenticationTypeID>4</AuthenticationTypeID>
        <AuthenticationTypeName>מ.ר.</AuthenticationTypeName>
        <LegalEntityNumber>9756</LegalEntityNumber>
        <IsMainPartyType>true</IsMainPartyType>
        <CaseDisplayIdentifier>49744-02-24</CaseDisplayIdentifier>
        <CaseTypeID>15</CaseTypeID>
        <CaseTypeName>תיק משפחה (תמ"ש)</CaseTypeName>
        <CaseName>וטנמכר נ' שיינפלד</CaseName>
        <FullAddress>סוקולוב 92 חולון </FullAddress>
        <MotionID>0</MotionID>
        <CasePleaID>0</CasePleaID>
        <FatherName xml:space="preserve">        </FatherName>
        <LinkedCaseID>0</LinkedCaseID>
        <PartyID>2</PartyID>
        <CasePartyCategoryID>2</CasePartyCategoryID>
        <LegalEntityAddressID>421552</LegalEntityAddressID>
        <PleaTypeID>4</PleaTypeID>
        <LawyerOfficeName>סגל משרד עו"ד</LawyerOfficeName>
        <LawyerOfficeID>419214</LawyerOfficeID>
        <GroupPartyAlias/>
        <IsConverted>false</IsConverted>
        <LegalEntityNameID>1045</LegalEntityNameID>
        <RepresentatedNamesOfAssistant/>
        <LegalEntityTypeID>4</LegalEntityTypeID>
        <IsVerdictExists>false</IsVerdictExists>
        <IsAsirAzir>false</IsAsirAzir>
        <MainAndSecSpec/>
        <IsPublicationProhibited>false</IsPublicationProhibited>
        <PublicationProhibitedFullName>יהושע סגל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אריה בן-חמו</FullName>
        <FirstName>אריה</FirstName>
        <LastName>בן-חמו</LastName>
        <PartyPropertyName/>
        <AuthenticationTypeAndNumber>מ.ר. 18329</AuthenticationTypeAndNumber>
        <RepresentatedOrRepresentativesNames>רעיה שיינפלד</RepresentatedOrRepresentativesNames>
        <RepresentatedOrRepresentativesCount>1</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276560540</CasePartyID>
        <PartyTypeID>2</PartyTypeID>
        <ActivityStatusID>1</ActivityStatusID>
        <PartyAliasID>21</PartyAliasID>
        <PartyAliasName>בא כוח נתבעים</PartyAliasName>
        <LegalEntityID>383305</LegalEntityID>
        <CaseLegalEntityID>131955364</CaseLegalEntityID>
        <AuthenticationTypeID>4</AuthenticationTypeID>
        <AuthenticationTypeName>מ.ר.</AuthenticationTypeName>
        <LegalEntityNumber>18329</LegalEntityNumber>
        <IsMainPartyType>true</IsMainPartyType>
        <CaseDisplayIdentifier>49744-02-24</CaseDisplayIdentifier>
        <CaseTypeID>15</CaseTypeID>
        <CaseTypeName>תיק משפחה (תמ"ש)</CaseTypeName>
        <CaseName>וטנמכר נ' שיינפלד</CaseName>
        <FullAddress>הנשיא2 חדרה </FullAddress>
        <EmailAddress>ariebh@zahav.net.il</EmailAddress>
        <MotionID>0</MotionID>
        <CasePleaID>0</CasePleaID>
        <LinkedCaseID>0</LinkedCaseID>
        <PartyID>2</PartyID>
        <CasePartyCategoryID>2</CasePartyCategoryID>
        <LegalEntityAddressID>82785363</LegalEntityAddressID>
        <LegalEntityEmailAddressID>67896649</LegalEntityEmailAddressID>
        <PleaTypeID>4</PleaTypeID>
        <LawyerOfficeName>משרד עו"ד: אריה בן-חמו</LawyerOfficeName>
        <LawyerOfficeID>423949</LawyerOfficeID>
        <GroupPartyAlias/>
        <IsConverted>false</IsConverted>
        <LegalEntityNameID>4289</LegalEntityNameID>
        <RepresentatedNamesOfAssistant/>
        <LegalEntityTypeID>4</LegalEntityTypeID>
        <IsVerdictExists>false</IsVerdictExists>
        <IsAsirAzir>false</IsAsirAzir>
        <MainAndSecSpec/>
        <IsPublicationProhibited>false</IsPublicationProhibited>
        <PublicationProhibitedFullName>אריה בן-חמו</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266702323</CasePartyID>
        <PartyTypeID>3</PartyTypeID>
        <ActivityStatusID>1</ActivityStatusID>
        <OrdinalNumber>1</OrdinalNumber>
        <LegalEntityID>379242</LegalEntityID>
        <CaseLegalEntityID>127870221</CaseLegalEntityID>
        <AssistantRoleID>33</AssistantRoleID>
        <AuthenticationTypeID>13</AuthenticationTypeID>
        <AuthenticationTypeName>משרדי ממשלה</AuthenticationTypeName>
        <LegalEntityNumber>500106222</LegalEntityNumber>
        <IsMainPartyType>true</IsMainPartyType>
        <CaseDisplayIdentifier>49744-02-24</CaseDisplayIdentifier>
        <CaseTypeID>15</CaseTypeID>
        <CaseTypeName>תיק משפחה (תמ"ש)</CaseTypeName>
        <CaseName>וטנמכר נ' שיינפלד</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מיכאל וטנמכר</FullName>
        <FirstName>מיכאל</FirstName>
        <LastName>וטנמכר</LastName>
        <PartyPropertyName/>
        <AuthenticationTypeAndNumber>ת"ז 014124887</AuthenticationTypeAndNumber>
        <RepresentatedOrRepresentativesNames>ד"ר איריס טרומן, צבי מנדל</RepresentatedOrRepresentativesNames>
        <RepresentatedOrRepresentativesCount>2</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266702324</CasePartyID>
        <PartyTypeID>1</PartyTypeID>
        <ActivityStatusID>1</ActivityStatusID>
        <PartyAliasID>1</PartyAliasID>
        <PartyAliasName>תובע</PartyAliasName>
        <OrdinalNumber>1</OrdinalNumber>
        <LegalEntityID>23639246</LegalEntityID>
        <CaseLegalEntityID>127870222</CaseLegalEntityID>
        <AuthenticationTypeID>1</AuthenticationTypeID>
        <AuthenticationTypeName>ת"ז</AuthenticationTypeName>
        <LegalEntityNumber>014124887</LegalEntityNumber>
        <IsMainPartyType>true</IsMainPartyType>
        <CaseDisplayIdentifier>49744-02-24</CaseDisplayIdentifier>
        <CaseTypeID>15</CaseTypeID>
        <CaseTypeName>תיק משפחה (תמ"ש)</CaseTypeName>
        <CaseName>וטנמכר נ' שיינפלד</CaseName>
        <FullAddress>אגר"א 5 כפר סבא </FullAddress>
        <MotionID>0</MotionID>
        <CasePleaID>0</CasePleaID>
        <FatherName>ניקולאי</FatherName>
        <LinkedCaseID>0</LinkedCaseID>
        <PartyID>1</PartyID>
        <CasePartyCategoryID>2</CasePartyCategoryID>
        <LegalEntityAddressID>88992602</LegalEntityAddressID>
        <PleaTypeID>4</PleaTypeID>
        <GroupPartyAlias>תובעים</GroupPartyAlias>
        <IsConverted>false</IsConverted>
        <LegalEntityRegisteredNameID>9317840</LegalEntityRegisteredNameID>
        <LegalEntityNameID>96189412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וטנמכר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צבי מנדל</FullName>
        <FirstName>צבי</FirstName>
        <LastName>מנדל</LastName>
        <PartyPropertyName/>
        <AuthenticationTypeAndNumber>מ.ר. 6851</AuthenticationTypeAndNumber>
        <RepresentatedOrRepresentativesNames>מיכאל וטנמכר</RepresentatedOrRepresentativesNames>
        <RepresentatedOrRepresentativesCount>1</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266702325</CasePartyID>
        <PartyTypeID>2</PartyTypeID>
        <ActivityStatusID>1</ActivityStatusID>
        <PartyAliasID>20</PartyAliasID>
        <PartyAliasName>בא כוח תובעים</PartyAliasName>
        <OrdinalNumber>1</OrdinalNumber>
        <LegalEntityID>379398</LegalEntityID>
        <CaseLegalEntityID>127870223</CaseLegalEntityID>
        <AuthenticationTypeID>4</AuthenticationTypeID>
        <AuthenticationTypeName>מ.ר.</AuthenticationTypeName>
        <LegalEntityNumber>6851</LegalEntityNumber>
        <IsMainPartyType>true</IsMainPartyType>
        <CaseDisplayIdentifier>49744-02-24</CaseDisplayIdentifier>
        <CaseTypeID>15</CaseTypeID>
        <CaseTypeName>תיק משפחה (תמ"ש)</CaseTypeName>
        <CaseName>וטנמכר נ' שיינפלד</CaseName>
        <FullAddress>שרה אהרונסון 7 פתח תקווה </FullAddress>
        <EmailAddress>ifatmg.law@gmail.com</EmailAddress>
        <MotionID>0</MotionID>
        <CasePleaID>0</CasePleaID>
        <LinkedCaseID>0</LinkedCaseID>
        <PartyID>1</PartyID>
        <CasePartyCategoryID>2</CasePartyCategoryID>
        <LegalEntityAddressID>75928002</LegalEntityAddressID>
        <LegalEntityEmailAddressID>67954237</LegalEntityEmailAddressID>
        <PleaTypeID>4</PleaTypeID>
        <LawyerOfficeName>משרד עו"ד: צבי מנדל</LawyerOfficeName>
        <LawyerOfficeID>420042</LawyerOfficeID>
        <GroupPartyAlias/>
        <IsConverted>false</IsConverted>
        <LegalEntityNameID>382</LegalEntityNameID>
        <RepresentatedNamesOfAssistant/>
        <LegalEntityTypeID>4</LegalEntityTypeID>
        <IsVerdictExists>false</IsVerdictExists>
        <IsAsirAzir>false</IsAsirAzir>
        <MainAndSecSpec/>
        <IsPublicationProhibited>false</IsPublicationProhibited>
        <PublicationProhibitedFullName>צבי מנדל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רעיה שיינפלד</FullName>
        <FirstName>רעיה</FirstName>
        <LastName>שיינפלד</LastName>
        <PartyPropertyName/>
        <AuthenticationTypeAndNumber>ת"ז 014124879</AuthenticationTypeAndNumber>
        <RepresentatedOrRepresentativesNames>אריה בן-חמו, יהושע סגל</RepresentatedOrRepresentativesNames>
        <RepresentatedOrRepresentativesCount>2</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266702326</CasePartyID>
        <PartyTypeID>1</PartyTypeID>
        <ActivityStatusID>1</ActivityStatusID>
        <PartyAliasID>2</PartyAliasID>
        <PartyAliasName>נתבע</PartyAliasName>
        <OrdinalNumber>1</OrdinalNumber>
        <LegalEntityID>23639245</LegalEntityID>
        <CaseLegalEntityID>127870224</CaseLegalEntityID>
        <AuthenticationTypeID>1</AuthenticationTypeID>
        <AuthenticationTypeName>ת"ז</AuthenticationTypeName>
        <LegalEntityNumber>014124879</LegalEntityNumber>
        <IsMainPartyType>true</IsMainPartyType>
        <CaseDisplayIdentifier>49744-02-24</CaseDisplayIdentifier>
        <CaseTypeID>15</CaseTypeID>
        <CaseTypeName>תיק משפחה (תמ"ש)</CaseTypeName>
        <CaseName>וטנמכר נ' שיינפלד</CaseName>
        <FullAddress>בראלי 16 תל אביב -יפו </FullAddress>
        <MotionID>0</MotionID>
        <CasePleaID>0</CasePleaID>
        <FatherName>ניקולאי קלמן</FatherName>
        <LinkedCaseID>0</LinkedCaseID>
        <PartyID>2</PartyID>
        <CasePartyCategoryID>2</CasePartyCategoryID>
        <LegalEntityAddressID>88992603</LegalEntityAddressID>
        <PleaTypeID>4</PleaTypeID>
        <GroupPartyAlias>נתבעים</GroupPartyAlias>
        <IsConverted>false</IsConverted>
        <LegalEntityRegisteredNameID>3796923</LegalEntityRegisteredNameID>
        <LegalEntityNameID>96189413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רעיה שיינפלד</PublicationProhibitedFullName>
      </CaseParties>
    </CasePartiesSelectionDS>
    <DecisionName>החלטה  שניתנה ע"י  רבקה מקייס</DecisionName>
    <CourtDisplayName>בית משפט לענייני משפחה בפתח תקווה</CourtDisplayName>
    <IsCaseJudgePanel>false</IsCaseJudgePanel>
    <DecisionSignatureDate>2024-10-05T11:30:08.5446802+03:00</DecisionSignatureDate>
    <OpenCaseDate>2024-02-21T12:36:00+02:00</OpenCaseDate>
    <CaseFeeSum>0.000</CaseFeeSum>
    <DecisionTypeID>1</DecisionTypeID>
    <DecisionSignatureUserName>רבקה מקייס</DecisionSignatureUserName>
    <DecisionSignatureDateHebrew>2024-10-05T11:30:08.5446802+03:00</DecisionSignatureDateHebrew>
    <DecisionWriterID>013388327@GOV.IL</DecisionWriterID>
    <CourtAddress>רח' בזל 1 א', פתח תקווה -1</CourtAddress>
    <IsAutoTextInCaseExist>false</IsAutoTextInCaseExist>
    <DecisionSignatureRoleName>שופט</DecisionSignatureRoleName>
    <DecisionSignatureUserTitleName>שופטת בכירה</DecisionSignatureUserTitleName>
    <CaseName>וטנמכר נ' שיינפלד</CaseName>
    <DecisionNumberInCase>6</DecisionNumberInCase>
  </dt_Decision>
  <dt_DecisionCase>
    <DecisionID>0</DecisionID>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ד"ר איריס טרומן</FullName>
        <FirstName>ד"ר איריס</FirstName>
        <LastName>טרומן</LastName>
        <PartyPropertyName/>
        <AuthenticationTypeAndNumber>מ.ר. 50622</AuthenticationTypeAndNumber>
        <RepresentatedOrRepresentativesNames>מיכאל וטנמכר</RepresentatedOrRepresentativesNames>
        <RepresentatedOrRepresentativesCount>1</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269610309</CasePartyID>
        <PartyTypeID>2</PartyTypeID>
        <ActivityStatusID>1</ActivityStatusID>
        <PartyAliasID>20</PartyAliasID>
        <PartyAliasName>בא כוח תובעים</PartyAliasName>
        <LegalEntityID>15874076</LegalEntityID>
        <CaseLegalEntityID>128714507</CaseLegalEntityID>
        <AuthenticationTypeID>4</AuthenticationTypeID>
        <AuthenticationTypeName>מ.ר.</AuthenticationTypeName>
        <LegalEntityNumber>50622</LegalEntityNumber>
        <IsMainPartyType>true</IsMainPartyType>
        <CaseDisplayIdentifier>49744-02-24</CaseDisplayIdentifier>
        <CaseTypeID>15</CaseTypeID>
        <CaseTypeName>תיק משפחה (תמ"ש)</CaseTypeName>
        <CaseName>וטנמכר נ' שיינפלד</CaseName>
        <FullAddress>ברנשטיין כהן 34 רמת השרון רמת השרון</FullAddress>
        <EmailAddress>truman.adv@gmail.com</EmailAddress>
        <MotionID>0</MotionID>
        <CasePleaID>0</CasePleaID>
        <LinkedCaseID>0</LinkedCaseID>
        <PartyID>1</PartyID>
        <CasePartyCategoryID>2</CasePartyCategoryID>
        <LegalEntityAddressID>16140516</LegalEntityAddressID>
        <LegalEntityEmailAddressID>68050166</LegalEntityEmailAddressID>
        <PleaTypeID>4</PleaTypeID>
        <LawyerOfficeName>משרד עו"ד ד"ר איריס טרומן</LawyerOfficeName>
        <LawyerOfficeID>15874077</LawyerOfficeID>
        <GroupPartyAlias/>
        <IsConverted>false</IsConverted>
        <LegalEntityNameID>81180758</LegalEntityNameID>
        <RepresentatedNamesOfAssistant/>
        <LegalEntityTypeID>4</LegalEntityTypeID>
        <IsVerdictExists>false</IsVerdictExists>
        <IsAsirAzir>false</IsAsirAzir>
        <MainAndSecSpec/>
        <IsPublicationProhibited>false</IsPublicationProhibited>
        <PublicationProhibitedFullName>ד"ר איריס טרומן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יהושע סגל</FullName>
        <FirstName>יהושע</FirstName>
        <LastName>סגל</LastName>
        <PartyPropertyName/>
        <AuthenticationTypeAndNumber>מ.ר. 9756</AuthenticationTypeAndNumber>
        <RepresentatedOrRepresentativesNames>רעיה שיינפלד</RepresentatedOrRepresentativesNames>
        <RepresentatedOrRepresentativesCount>1</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276369909</CasePartyID>
        <PartyTypeID>2</PartyTypeID>
        <ActivityStatusID>1</ActivityStatusID>
        <PartyAliasID>21</PartyAliasID>
        <PartyAliasName>בא כוח נתבעים</PartyAliasName>
        <LegalEntityID>380061</LegalEntityID>
        <CaseLegalEntityID>131882113</CaseLegalEntityID>
        <AuthenticationTypeID>4</AuthenticationTypeID>
        <AuthenticationTypeName>מ.ר.</AuthenticationTypeName>
        <LegalEntityNumber>9756</LegalEntityNumber>
        <IsMainPartyType>true</IsMainPartyType>
        <CaseDisplayIdentifier>49744-02-24</CaseDisplayIdentifier>
        <CaseTypeID>15</CaseTypeID>
        <CaseTypeName>תיק משפחה (תמ"ש)</CaseTypeName>
        <CaseName>וטנמכר נ' שיינפלד</CaseName>
        <FullAddress>סוקולוב 92 חולון </FullAddress>
        <MotionID>0</MotionID>
        <CasePleaID>0</CasePleaID>
        <FatherName xml:space="preserve">        </FatherName>
        <LinkedCaseID>0</LinkedCaseID>
        <PartyID>2</PartyID>
        <CasePartyCategoryID>2</CasePartyCategoryID>
        <LegalEntityAddressID>421552</LegalEntityAddressID>
        <PleaTypeID>4</PleaTypeID>
        <LawyerOfficeName>סגל משרד עו"ד</LawyerOfficeName>
        <LawyerOfficeID>419214</LawyerOfficeID>
        <GroupPartyAlias/>
        <IsConverted>false</IsConverted>
        <LegalEntityNameID>1045</LegalEntityNameID>
        <RepresentatedNamesOfAssistant/>
        <LegalEntityTypeID>4</LegalEntityTypeID>
        <IsVerdictExists>false</IsVerdictExists>
        <IsAsirAzir>false</IsAsirAzir>
        <MainAndSecSpec/>
        <IsPublicationProhibited>false</IsPublicationProhibited>
        <PublicationProhibitedFullName>יהושע סגל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אריה בן-חמו</FullName>
        <FirstName>אריה</FirstName>
        <LastName>בן-חמו</LastName>
        <PartyPropertyName/>
        <AuthenticationTypeAndNumber>מ.ר. 18329</AuthenticationTypeAndNumber>
        <RepresentatedOrRepresentativesNames>רעיה שיינפלד</RepresentatedOrRepresentativesNames>
        <RepresentatedOrRepresentativesCount>1</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276560540</CasePartyID>
        <PartyTypeID>2</PartyTypeID>
        <ActivityStatusID>1</ActivityStatusID>
        <PartyAliasID>21</PartyAliasID>
        <PartyAliasName>בא כוח נתבעים</PartyAliasName>
        <LegalEntityID>383305</LegalEntityID>
        <CaseLegalEntityID>131955364</CaseLegalEntityID>
        <AuthenticationTypeID>4</AuthenticationTypeID>
        <AuthenticationTypeName>מ.ר.</AuthenticationTypeName>
        <LegalEntityNumber>18329</LegalEntityNumber>
        <IsMainPartyType>true</IsMainPartyType>
        <CaseDisplayIdentifier>49744-02-24</CaseDisplayIdentifier>
        <CaseTypeID>15</CaseTypeID>
        <CaseTypeName>תיק משפחה (תמ"ש)</CaseTypeName>
        <CaseName>וטנמכר נ' שיינפלד</CaseName>
        <FullAddress>הנשיא2 חדרה </FullAddress>
        <EmailAddress>ariebh@zahav.net.il</EmailAddress>
        <MotionID>0</MotionID>
        <CasePleaID>0</CasePleaID>
        <LinkedCaseID>0</LinkedCaseID>
        <PartyID>2</PartyID>
        <CasePartyCategoryID>2</CasePartyCategoryID>
        <LegalEntityAddressID>82785363</LegalEntityAddressID>
        <LegalEntityEmailAddressID>67896649</LegalEntityEmailAddressID>
        <PleaTypeID>4</PleaTypeID>
        <LawyerOfficeName>משרד עו"ד: אריה בן-חמו</LawyerOfficeName>
        <LawyerOfficeID>423949</LawyerOfficeID>
        <GroupPartyAlias/>
        <IsConverted>false</IsConverted>
        <LegalEntityNameID>4289</LegalEntityNameID>
        <RepresentatedNamesOfAssistant/>
        <LegalEntityTypeID>4</LegalEntityTypeID>
        <IsVerdictExists>false</IsVerdictExists>
        <IsAsirAzir>false</IsAsirAzir>
        <MainAndSecSpec/>
        <IsPublicationProhibited>false</IsPublicationProhibited>
        <PublicationProhibitedFullName>אריה בן-חמו</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266702323</CasePartyID>
        <PartyTypeID>3</PartyTypeID>
        <ActivityStatusID>1</ActivityStatusID>
        <OrdinalNumber>1</OrdinalNumber>
        <LegalEntityID>379242</LegalEntityID>
        <CaseLegalEntityID>127870221</CaseLegalEntityID>
        <AssistantRoleID>33</AssistantRoleID>
        <AuthenticationTypeID>13</AuthenticationTypeID>
        <AuthenticationTypeName>משרדי ממשלה</AuthenticationTypeName>
        <LegalEntityNumber>500106222</LegalEntityNumber>
        <IsMainPartyType>true</IsMainPartyType>
        <CaseDisplayIdentifier>49744-02-24</CaseDisplayIdentifier>
        <CaseTypeID>15</CaseTypeID>
        <CaseTypeName>תיק משפחה (תמ"ש)</CaseTypeName>
        <CaseName>וטנמכר נ' שיינפלד</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מיכאל וטנמכר</FullName>
        <FirstName>מיכאל</FirstName>
        <LastName>וטנמכר</LastName>
        <PartyPropertyName/>
        <AuthenticationTypeAndNumber>ת"ז 014124887</AuthenticationTypeAndNumber>
        <RepresentatedOrRepresentativesNames>ד"ר איריס טרומן, צבי מנדל</RepresentatedOrRepresentativesNames>
        <RepresentatedOrRepresentativesCount>2</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266702324</CasePartyID>
        <PartyTypeID>1</PartyTypeID>
        <ActivityStatusID>1</ActivityStatusID>
        <PartyAliasID>1</PartyAliasID>
        <PartyAliasName>תובע</PartyAliasName>
        <OrdinalNumber>1</OrdinalNumber>
        <LegalEntityID>23639246</LegalEntityID>
        <CaseLegalEntityID>127870222</CaseLegalEntityID>
        <AuthenticationTypeID>1</AuthenticationTypeID>
        <AuthenticationTypeName>ת"ז</AuthenticationTypeName>
        <LegalEntityNumber>014124887</LegalEntityNumber>
        <IsMainPartyType>true</IsMainPartyType>
        <CaseDisplayIdentifier>49744-02-24</CaseDisplayIdentifier>
        <CaseTypeID>15</CaseTypeID>
        <CaseTypeName>תיק משפחה (תמ"ש)</CaseTypeName>
        <CaseName>וטנמכר נ' שיינפלד</CaseName>
        <FullAddress>אגר"א 5 כפר סבא </FullAddress>
        <MotionID>0</MotionID>
        <CasePleaID>0</CasePleaID>
        <FatherName>ניקולאי</FatherName>
        <LinkedCaseID>0</LinkedCaseID>
        <PartyID>1</PartyID>
        <CasePartyCategoryID>2</CasePartyCategoryID>
        <LegalEntityAddressID>88992602</LegalEntityAddressID>
        <PleaTypeID>4</PleaTypeID>
        <GroupPartyAlias>תובעים</GroupPartyAlias>
        <IsConverted>false</IsConverted>
        <LegalEntityRegisteredNameID>9317840</LegalEntityRegisteredNameID>
        <LegalEntityNameID>96189412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וטנמכר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צבי מנדל</FullName>
        <FirstName>צבי</FirstName>
        <LastName>מנדל</LastName>
        <PartyPropertyName/>
        <AuthenticationTypeAndNumber>מ.ר. 6851</AuthenticationTypeAndNumber>
        <RepresentatedOrRepresentativesNames>מיכאל וטנמכר</RepresentatedOrRepresentativesNames>
        <RepresentatedOrRepresentativesCount>1</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266702325</CasePartyID>
        <PartyTypeID>2</PartyTypeID>
        <ActivityStatusID>1</ActivityStatusID>
        <PartyAliasID>20</PartyAliasID>
        <PartyAliasName>בא כוח תובעים</PartyAliasName>
        <OrdinalNumber>1</OrdinalNumber>
        <LegalEntityID>379398</LegalEntityID>
        <CaseLegalEntityID>127870223</CaseLegalEntityID>
        <AuthenticationTypeID>4</AuthenticationTypeID>
        <AuthenticationTypeName>מ.ר.</AuthenticationTypeName>
        <LegalEntityNumber>6851</LegalEntityNumber>
        <IsMainPartyType>true</IsMainPartyType>
        <CaseDisplayIdentifier>49744-02-24</CaseDisplayIdentifier>
        <CaseTypeID>15</CaseTypeID>
        <CaseTypeName>תיק משפחה (תמ"ש)</CaseTypeName>
        <CaseName>וטנמכר נ' שיינפלד</CaseName>
        <FullAddress>שרה אהרונסון 7 פתח תקווה </FullAddress>
        <EmailAddress>ifatmg.law@gmail.com</EmailAddress>
        <MotionID>0</MotionID>
        <CasePleaID>0</CasePleaID>
        <LinkedCaseID>0</LinkedCaseID>
        <PartyID>1</PartyID>
        <CasePartyCategoryID>2</CasePartyCategoryID>
        <LegalEntityAddressID>75928002</LegalEntityAddressID>
        <LegalEntityEmailAddressID>67954237</LegalEntityEmailAddressID>
        <PleaTypeID>4</PleaTypeID>
        <LawyerOfficeName>משרד עו"ד: צבי מנדל</LawyerOfficeName>
        <LawyerOfficeID>420042</LawyerOfficeID>
        <GroupPartyAlias/>
        <IsConverted>false</IsConverted>
        <LegalEntityNameID>382</LegalEntityNameID>
        <RepresentatedNamesOfAssistant/>
        <LegalEntityTypeID>4</LegalEntityTypeID>
        <IsVerdictExists>false</IsVerdictExists>
        <IsAsirAzir>false</IsAsirAzir>
        <MainAndSecSpec/>
        <IsPublicationProhibited>false</IsPublicationProhibited>
        <PublicationProhibitedFullName>צבי מנדל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רעיה שיינפלד</FullName>
        <FirstName>רעיה</FirstName>
        <LastName>שיינפלד</LastName>
        <PartyPropertyName/>
        <AuthenticationTypeAndNumber>ת"ז 014124879</AuthenticationTypeAndNumber>
        <RepresentatedOrRepresentativesNames>אריה בן-חמו, יהושע סגל</RepresentatedOrRepresentativesNames>
        <RepresentatedOrRepresentativesCount>2</RepresentatedOrRepresentativesCount>
        <InvitedBy/>
        <CaseID>81013689</CaseID>
        <CaseJudicialPersonPresentationDS>
          <CaseJudicalPersonActive>
            <CaseID>81013689</CaseID>
            <JudicialPersonID>013388327@GOV.IL</JudicialPersonID>
            <JudicialPersonTypeID>1</JudicialPersonTypeID>
            <JudicialTypeID>1</JudicialTypeID>
            <IsChairman>false</IsChairman>
            <TreatmentStartDate>2024-02-21T13:01:47.52+02:00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266702326</CasePartyID>
        <PartyTypeID>1</PartyTypeID>
        <ActivityStatusID>1</ActivityStatusID>
        <PartyAliasID>2</PartyAliasID>
        <PartyAliasName>נתבע</PartyAliasName>
        <OrdinalNumber>1</OrdinalNumber>
        <LegalEntityID>23639245</LegalEntityID>
        <CaseLegalEntityID>127870224</CaseLegalEntityID>
        <AuthenticationTypeID>1</AuthenticationTypeID>
        <AuthenticationTypeName>ת"ז</AuthenticationTypeName>
        <LegalEntityNumber>014124879</LegalEntityNumber>
        <IsMainPartyType>true</IsMainPartyType>
        <CaseDisplayIdentifier>49744-02-24</CaseDisplayIdentifier>
        <CaseTypeID>15</CaseTypeID>
        <CaseTypeName>תיק משפחה (תמ"ש)</CaseTypeName>
        <CaseName>וטנמכר נ' שיינפלד</CaseName>
        <FullAddress>בראלי 16 תל אביב -יפו </FullAddress>
        <MotionID>0</MotionID>
        <CasePleaID>0</CasePleaID>
        <FatherName>ניקולאי קלמן</FatherName>
        <LinkedCaseID>0</LinkedCaseID>
        <PartyID>2</PartyID>
        <CasePartyCategoryID>2</CasePartyCategoryID>
        <LegalEntityAddressID>88992603</LegalEntityAddressID>
        <PleaTypeID>4</PleaTypeID>
        <GroupPartyAlias>נתבעים</GroupPartyAlias>
        <IsConverted>false</IsConverted>
        <LegalEntityRegisteredNameID>3796923</LegalEntityRegisteredNameID>
        <LegalEntityNameID>96189413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רעיה שיינפלד</PublicationProhibitedFullName>
      </CaseParties>
    </CasePartiesSelectionDS>
    <CaseName>וטנמכר נ' שיינפלד</CaseName>
    <CaseDisplayIdentifier>49744-02-24</CaseDisplayIdentifier>
    <CaseInterestID>167</CaseInterestID>
    <CaseTypeShortName>תמ"ש</CaseTypeShortName>
  </dt_DecisionCase>
  <dt_DecisionJudgePanel>
    <JudgeID>013388327@GOV.IL</JudgeID>
    <DisplayName>רבקה מקייס</DisplayName>
    <RoleName>שופט</RoleName>
    <UserTitleName>שופטת בכירה</UserTitleName>
  </dt_DecisionJudgePanel>
  <dt_LegalEntityDetails>
    <Fax>077-3355740</Fax>
    <Phone>077-3320116</Phone>
    <AddressDesc>רמת השרון</AddressDesc>
    <PartyID>1</PartyID>
    <PartyTypeID>2</PartyTypeID>
    <DecisionID>0</DecisionID>
    <StreetName>ברנשטיין כהן 34</StreetName>
    <ZipCode>47213</ZipCode>
    <CityName>רמת השרון</CityName>
    <FullName>ד"ר איריס טרומן</FullName>
    <Email>truman.adv@gmail.com</Email>
    <IsPublicationProhibited>false</IsPublicationProhibited>
  </dt_LegalEntityDetails>
  <dt_LegalEntityDetails>
    <Fax>03-5035228</Fax>
    <Phone>03-5035199</Phone>
    <PartyID>2</PartyID>
    <PartyTypeID>2</PartyTypeID>
    <DecisionID>0</DecisionID>
    <StreetName>סוקולוב 92</StreetName>
    <ZipCode>58340</ZipCode>
    <CityName>חולון</CityName>
    <FullName>יהושע סגל</FullName>
    <IsPublicationProhibited>false</IsPublicationProhibited>
  </dt_LegalEntityDetails>
  <dt_LegalEntityDetails>
    <Fax>04-6225657</Fax>
    <Phone>04-6225646</Phone>
    <PartyID>2</PartyID>
    <PartyTypeID>2</PartyTypeID>
    <DecisionID>0</DecisionID>
    <StreetName>הנשיא2</StreetName>
    <ZipCode>38428</ZipCode>
    <CityName>חדרה</CityName>
    <FullName>אריה בן-חמו</FullName>
    <Email>ariebh@zahav.net.il</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StreetName>אגר"א 5</StreetName>
    <CityName>כפר סבא</CityName>
    <FullName>מיכאל וטנמכר</FullName>
    <IsPublicationProhibited>false</IsPublicationProhibited>
  </dt_LegalEntityDetails>
  <dt_LegalEntityDetails>
    <Fax>03-9349669</Fax>
    <Phone>03-9306651</Phone>
    <PartyID>1</PartyID>
    <PartyTypeID>2</PartyTypeID>
    <DecisionID>0</DecisionID>
    <StreetName>שרה אהרונסון 7</StreetName>
    <ZipCode>49397</ZipCode>
    <CityName>פתח תקווה</CityName>
    <FullName>צבי מנדל</FullName>
    <Email>ifatmg.law@gmail.com</Email>
    <IsPublicationProhibited>false</IsPublicationProhibited>
  </dt_LegalEntityDetails>
  <dt_LegalEntityDetails>
    <PartyID>2</PartyID>
    <PartyTypeID>1</PartyTypeID>
    <DecisionID>0</DecisionID>
    <StreetName>בראלי 16</StreetName>
    <CityName>תל אביב -יפו</CityName>
    <FullName>רעיה שיינפלד</FullName>
    <IsPublicationProhibited>false</IsPublicationProhibited>
  </dt_LegalEntityDetails>
  <dt_CaseJudicalPersonActive>
    <CaseJudicalPerson>שופטת בכירה רבקה מקייס</CaseJudicalPerson>
  </dt_CaseJudicalPersonActive>
  <dt_Sitting/>
</DecisionTemplateDS>
</file>

<file path=customXml/itemProps1.xml><?xml version="1.0" encoding="utf-8"?>
<ds:datastoreItem xmlns:ds="http://schemas.openxmlformats.org/officeDocument/2006/customXml" ds:itemID="{A27E2A3F-EEE3-4CDF-A44C-9ACDF676E8B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1870</Words>
  <Characters>9350</Characters>
  <Application>Microsoft Office Word</Application>
  <DocSecurity>0</DocSecurity>
  <Lines>77</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2025-01-02T14:13:00Z</dcterms:created>
  <dcterms:modified xsi:type="dcterms:W3CDTF">2025-01-02T14:13:00Z</dcterms:modified>
</cp:coreProperties>
</file>